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4"/>
        <w:gridCol w:w="4845"/>
      </w:tblGrid>
      <w:tr w:rsidR="00A4399B" w:rsidRPr="00A4399B" w14:paraId="7387B7BE" w14:textId="77777777" w:rsidTr="00460BBD">
        <w:trPr>
          <w:cantSplit/>
          <w:trHeight w:val="167"/>
        </w:trPr>
        <w:tc>
          <w:tcPr>
            <w:tcW w:w="5344" w:type="dxa"/>
            <w:tcBorders>
              <w:top w:val="nil"/>
              <w:left w:val="nil"/>
              <w:bottom w:val="nil"/>
              <w:right w:val="nil"/>
            </w:tcBorders>
          </w:tcPr>
          <w:p w14:paraId="23E5E96D" w14:textId="77777777" w:rsidR="00BB5B44" w:rsidRPr="00A4399B" w:rsidRDefault="004D1012" w:rsidP="00BB5B44">
            <w:pPr>
              <w:tabs>
                <w:tab w:val="left" w:pos="2694"/>
              </w:tabs>
              <w:rPr>
                <w:rFonts w:ascii="Arial" w:hAnsi="Arial" w:cs="Arial"/>
              </w:rPr>
            </w:pPr>
            <w:r w:rsidRPr="00A4399B">
              <w:rPr>
                <w:b/>
                <w:noProof/>
                <w:spacing w:val="-2"/>
              </w:rPr>
              <w:drawing>
                <wp:inline distT="0" distB="0" distL="0" distR="0" wp14:anchorId="0956739A" wp14:editId="5B5F00F7">
                  <wp:extent cx="895350"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5651" cy="616928"/>
                          </a:xfrm>
                          <a:prstGeom prst="rect">
                            <a:avLst/>
                          </a:prstGeom>
                          <a:noFill/>
                          <a:ln>
                            <a:noFill/>
                          </a:ln>
                        </pic:spPr>
                      </pic:pic>
                    </a:graphicData>
                  </a:graphic>
                </wp:inline>
              </w:drawing>
            </w:r>
          </w:p>
          <w:p w14:paraId="4638C97F" w14:textId="77777777" w:rsidR="00FC6222" w:rsidRPr="00A4399B" w:rsidRDefault="00FC6222" w:rsidP="00FC6222">
            <w:pPr>
              <w:tabs>
                <w:tab w:val="left" w:pos="2694"/>
              </w:tabs>
              <w:rPr>
                <w:rFonts w:ascii="Arial" w:hAnsi="Arial" w:cs="Arial"/>
                <w:b/>
                <w:sz w:val="26"/>
              </w:rPr>
            </w:pPr>
            <w:r w:rsidRPr="00A4399B">
              <w:rPr>
                <w:rFonts w:ascii="Arial" w:hAnsi="Arial" w:cs="Arial"/>
                <w:b/>
                <w:sz w:val="26"/>
              </w:rPr>
              <w:t>FIRST-TIER TRIBUNAL</w:t>
            </w:r>
          </w:p>
          <w:p w14:paraId="0B96F13F" w14:textId="77777777" w:rsidR="00A520B8" w:rsidRPr="00A4399B" w:rsidRDefault="00FC6222" w:rsidP="00FC6222">
            <w:pPr>
              <w:tabs>
                <w:tab w:val="left" w:pos="-720"/>
                <w:tab w:val="left" w:pos="1440"/>
              </w:tabs>
              <w:suppressAutoHyphens/>
              <w:spacing w:after="60"/>
              <w:jc w:val="both"/>
              <w:rPr>
                <w:rFonts w:ascii="Arial" w:hAnsi="Arial" w:cs="Arial"/>
                <w:b/>
                <w:spacing w:val="-2"/>
                <w:sz w:val="26"/>
                <w:szCs w:val="32"/>
              </w:rPr>
            </w:pPr>
            <w:r w:rsidRPr="00A4399B">
              <w:rPr>
                <w:rFonts w:ascii="Arial" w:hAnsi="Arial" w:cs="Arial"/>
                <w:b/>
                <w:sz w:val="26"/>
              </w:rPr>
              <w:t>ASYLUM SUPPORT</w:t>
            </w:r>
          </w:p>
          <w:p w14:paraId="38B1A4C6" w14:textId="77777777" w:rsidR="00BB5B44" w:rsidRPr="00A4399B" w:rsidRDefault="00BB5B44" w:rsidP="00F94F46">
            <w:pPr>
              <w:rPr>
                <w:rFonts w:ascii="Arial" w:hAnsi="Arial" w:cs="Arial"/>
                <w:spacing w:val="-2"/>
              </w:rPr>
            </w:pPr>
          </w:p>
          <w:p w14:paraId="4661C7CE" w14:textId="6772CAE8" w:rsidR="00683897" w:rsidRPr="00A4399B" w:rsidRDefault="001332A2" w:rsidP="00683897">
            <w:pPr>
              <w:rPr>
                <w:rFonts w:ascii="Arial" w:hAnsi="Arial" w:cs="Arial"/>
                <w:spacing w:val="-2"/>
                <w:sz w:val="18"/>
                <w:szCs w:val="18"/>
              </w:rPr>
            </w:pPr>
            <w:r w:rsidRPr="00A4399B">
              <w:rPr>
                <w:rFonts w:ascii="Arial" w:hAnsi="Arial" w:cs="Arial"/>
                <w:spacing w:val="-2"/>
                <w:sz w:val="18"/>
                <w:szCs w:val="18"/>
              </w:rPr>
              <w:t>To:</w:t>
            </w:r>
          </w:p>
          <w:p w14:paraId="3B5B7546" w14:textId="77777777" w:rsidR="00FC6222" w:rsidRPr="00A4399B" w:rsidRDefault="00FC6222" w:rsidP="00F56A55">
            <w:pPr>
              <w:rPr>
                <w:rFonts w:ascii="Arial" w:hAnsi="Arial" w:cs="Arial"/>
                <w:spacing w:val="-2"/>
                <w:sz w:val="22"/>
                <w:szCs w:val="22"/>
              </w:rPr>
            </w:pPr>
          </w:p>
          <w:p w14:paraId="5407C81C" w14:textId="6DECD1DF" w:rsidR="00B21579" w:rsidRDefault="00B21579" w:rsidP="00F56A55">
            <w:pPr>
              <w:rPr>
                <w:rFonts w:ascii="Arial" w:hAnsi="Arial" w:cs="Arial"/>
                <w:spacing w:val="-2"/>
                <w:sz w:val="22"/>
                <w:szCs w:val="22"/>
              </w:rPr>
            </w:pPr>
          </w:p>
          <w:p w14:paraId="313C53A5" w14:textId="77777777" w:rsidR="00474DC7" w:rsidRPr="00A4399B" w:rsidRDefault="00474DC7" w:rsidP="00F56A55">
            <w:pPr>
              <w:rPr>
                <w:rFonts w:ascii="Arial" w:hAnsi="Arial" w:cs="Arial"/>
                <w:spacing w:val="-2"/>
                <w:sz w:val="22"/>
                <w:szCs w:val="22"/>
              </w:rPr>
            </w:pPr>
          </w:p>
          <w:p w14:paraId="5077FA43" w14:textId="3EAED400" w:rsidR="00B21579" w:rsidRPr="00A4399B" w:rsidRDefault="00B21579" w:rsidP="00F56A55">
            <w:pPr>
              <w:rPr>
                <w:rFonts w:ascii="Arial" w:hAnsi="Arial" w:cs="Arial"/>
                <w:spacing w:val="-2"/>
                <w:sz w:val="22"/>
                <w:szCs w:val="22"/>
              </w:rPr>
            </w:pPr>
          </w:p>
        </w:tc>
        <w:tc>
          <w:tcPr>
            <w:tcW w:w="4845" w:type="dxa"/>
            <w:tcBorders>
              <w:top w:val="nil"/>
              <w:left w:val="nil"/>
              <w:bottom w:val="nil"/>
              <w:right w:val="nil"/>
            </w:tcBorders>
          </w:tcPr>
          <w:p w14:paraId="205530A2" w14:textId="77777777" w:rsidR="00760656" w:rsidRPr="00A4399B" w:rsidRDefault="00760656" w:rsidP="00760656">
            <w:pPr>
              <w:rPr>
                <w:rFonts w:ascii="Arial" w:hAnsi="Arial" w:cs="Arial"/>
              </w:rPr>
            </w:pPr>
            <w:r w:rsidRPr="00A4399B">
              <w:rPr>
                <w:rFonts w:ascii="Arial" w:hAnsi="Arial" w:cs="Arial"/>
              </w:rPr>
              <w:t>2</w:t>
            </w:r>
            <w:r w:rsidRPr="00A4399B">
              <w:rPr>
                <w:rFonts w:ascii="Arial" w:hAnsi="Arial" w:cs="Arial"/>
                <w:vertAlign w:val="superscript"/>
              </w:rPr>
              <w:t>nd</w:t>
            </w:r>
            <w:r w:rsidRPr="00A4399B">
              <w:rPr>
                <w:rFonts w:ascii="Arial" w:hAnsi="Arial" w:cs="Arial"/>
              </w:rPr>
              <w:t xml:space="preserve"> Floor</w:t>
            </w:r>
          </w:p>
          <w:p w14:paraId="7F378BD1" w14:textId="77777777" w:rsidR="007B077E" w:rsidRPr="00A4399B" w:rsidRDefault="004D7ADE" w:rsidP="007B077E">
            <w:pPr>
              <w:rPr>
                <w:rFonts w:ascii="Arial" w:hAnsi="Arial" w:cs="Arial"/>
              </w:rPr>
            </w:pPr>
            <w:r w:rsidRPr="00A4399B">
              <w:rPr>
                <w:rFonts w:ascii="Arial" w:hAnsi="Arial" w:cs="Arial"/>
              </w:rPr>
              <w:t>Import Building</w:t>
            </w:r>
          </w:p>
          <w:p w14:paraId="10FBD062" w14:textId="77777777" w:rsidR="007B077E" w:rsidRPr="00A4399B" w:rsidRDefault="007B077E" w:rsidP="007B077E">
            <w:pPr>
              <w:rPr>
                <w:rFonts w:ascii="Arial" w:hAnsi="Arial" w:cs="Arial"/>
              </w:rPr>
            </w:pPr>
            <w:smartTag w:uri="urn:schemas-microsoft-com:office:smarttags" w:element="address">
              <w:smartTag w:uri="urn:schemas-microsoft-com:office:smarttags" w:element="Street">
                <w:r w:rsidRPr="00A4399B">
                  <w:rPr>
                    <w:rFonts w:ascii="Arial" w:hAnsi="Arial" w:cs="Arial"/>
                  </w:rPr>
                  <w:t>2 Clove Crescent</w:t>
                </w:r>
              </w:smartTag>
            </w:smartTag>
          </w:p>
          <w:p w14:paraId="2775F208" w14:textId="77777777" w:rsidR="007B077E" w:rsidRPr="00A4399B" w:rsidRDefault="007B077E" w:rsidP="007B077E">
            <w:pPr>
              <w:rPr>
                <w:rFonts w:ascii="Arial" w:hAnsi="Arial" w:cs="Arial"/>
              </w:rPr>
            </w:pPr>
            <w:smartTag w:uri="urn:schemas-microsoft-com:office:smarttags" w:element="place">
              <w:smartTag w:uri="urn:schemas-microsoft-com:office:smarttags" w:element="City">
                <w:r w:rsidRPr="00A4399B">
                  <w:rPr>
                    <w:rFonts w:ascii="Arial" w:hAnsi="Arial" w:cs="Arial"/>
                  </w:rPr>
                  <w:t>London</w:t>
                </w:r>
              </w:smartTag>
            </w:smartTag>
          </w:p>
          <w:p w14:paraId="72D2D9BF" w14:textId="77777777" w:rsidR="007B077E" w:rsidRPr="00A4399B" w:rsidRDefault="007B077E" w:rsidP="007B077E">
            <w:pPr>
              <w:rPr>
                <w:rFonts w:ascii="Arial" w:hAnsi="Arial" w:cs="Arial"/>
              </w:rPr>
            </w:pPr>
            <w:r w:rsidRPr="00A4399B">
              <w:rPr>
                <w:rFonts w:ascii="Arial" w:hAnsi="Arial" w:cs="Arial"/>
              </w:rPr>
              <w:t>E14 2BE</w:t>
            </w:r>
          </w:p>
          <w:p w14:paraId="1DF8611C" w14:textId="77777777" w:rsidR="00F0485C" w:rsidRPr="00A4399B" w:rsidRDefault="00F0485C" w:rsidP="00AB02E4">
            <w:pPr>
              <w:rPr>
                <w:rStyle w:val="Hyperlink"/>
                <w:rFonts w:ascii="Arial" w:hAnsi="Arial" w:cs="Arial"/>
                <w:color w:val="auto"/>
              </w:rPr>
            </w:pPr>
            <w:r w:rsidRPr="00A4399B">
              <w:fldChar w:fldCharType="begin"/>
            </w:r>
            <w:r w:rsidRPr="00A4399B">
              <w:instrText xml:space="preserve"> HYPERLINK "mailto:asylumsupporttribunals@hmcts.gsi.gov.uk" \o "mailto:asylumsupporttribunals@hmcts.gsi.gov.uk" </w:instrText>
            </w:r>
            <w:r w:rsidRPr="00A4399B">
              <w:fldChar w:fldCharType="separate"/>
            </w:r>
            <w:proofErr w:type="spellStart"/>
            <w:r w:rsidR="0043101D" w:rsidRPr="00A4399B">
              <w:rPr>
                <w:rStyle w:val="Hyperlink"/>
                <w:rFonts w:ascii="Arial" w:hAnsi="Arial" w:cs="Arial"/>
                <w:color w:val="auto"/>
              </w:rPr>
              <w:t>asylumsupporttribunals@</w:t>
            </w:r>
            <w:r w:rsidRPr="00A4399B">
              <w:rPr>
                <w:rStyle w:val="Hyperlink"/>
                <w:rFonts w:ascii="Arial" w:hAnsi="Arial" w:cs="Arial"/>
                <w:color w:val="auto"/>
              </w:rPr>
              <w:t>justice</w:t>
            </w:r>
            <w:proofErr w:type="spellEnd"/>
          </w:p>
          <w:p w14:paraId="5CB2383A" w14:textId="77777777" w:rsidR="00AB02E4" w:rsidRPr="00A4399B" w:rsidRDefault="0043101D" w:rsidP="00AB02E4">
            <w:pPr>
              <w:rPr>
                <w:rFonts w:ascii="Arial" w:hAnsi="Arial" w:cs="Arial"/>
              </w:rPr>
            </w:pPr>
            <w:r w:rsidRPr="00A4399B">
              <w:rPr>
                <w:rStyle w:val="Hyperlink"/>
                <w:rFonts w:ascii="Arial" w:hAnsi="Arial" w:cs="Arial"/>
                <w:color w:val="auto"/>
              </w:rPr>
              <w:t>gov.uk</w:t>
            </w:r>
            <w:r w:rsidR="00F0485C" w:rsidRPr="00A4399B">
              <w:rPr>
                <w:rStyle w:val="Hyperlink"/>
                <w:rFonts w:ascii="Arial" w:hAnsi="Arial" w:cs="Arial"/>
                <w:color w:val="auto"/>
              </w:rPr>
              <w:fldChar w:fldCharType="end"/>
            </w:r>
          </w:p>
          <w:p w14:paraId="3C23E6BB" w14:textId="77777777" w:rsidR="004B233F" w:rsidRPr="00A4399B" w:rsidRDefault="004B233F" w:rsidP="004B233F">
            <w:pPr>
              <w:shd w:val="clear" w:color="auto" w:fill="FFFFFF"/>
              <w:tabs>
                <w:tab w:val="left" w:pos="2268"/>
              </w:tabs>
              <w:spacing w:after="60"/>
              <w:rPr>
                <w:rFonts w:ascii="Arial" w:hAnsi="Arial" w:cs="Arial"/>
                <w:spacing w:val="-3"/>
              </w:rPr>
            </w:pPr>
            <w:r w:rsidRPr="00A4399B">
              <w:rPr>
                <w:rFonts w:ascii="Arial" w:hAnsi="Arial" w:cs="Arial"/>
                <w:spacing w:val="-3"/>
              </w:rPr>
              <w:t>Telephone: 020 7538 6171</w:t>
            </w:r>
          </w:p>
          <w:p w14:paraId="48576FB8" w14:textId="77777777" w:rsidR="00A142CB" w:rsidRPr="00A4399B" w:rsidRDefault="004B233F" w:rsidP="004B233F">
            <w:pPr>
              <w:tabs>
                <w:tab w:val="left" w:pos="-720"/>
                <w:tab w:val="left" w:pos="1440"/>
              </w:tabs>
              <w:suppressAutoHyphens/>
              <w:spacing w:after="60"/>
              <w:jc w:val="both"/>
              <w:rPr>
                <w:rFonts w:ascii="Arial" w:hAnsi="Arial" w:cs="Arial"/>
                <w:spacing w:val="-2"/>
                <w:sz w:val="24"/>
                <w:szCs w:val="24"/>
              </w:rPr>
            </w:pPr>
            <w:r w:rsidRPr="00A4399B">
              <w:rPr>
                <w:rFonts w:ascii="Arial" w:hAnsi="Arial" w:cs="Arial"/>
                <w:spacing w:val="-3"/>
              </w:rPr>
              <w:t xml:space="preserve">Fax:            </w:t>
            </w:r>
            <w:r w:rsidR="0048365F" w:rsidRPr="00A4399B">
              <w:t xml:space="preserve">0126-434-7902 </w:t>
            </w:r>
          </w:p>
          <w:tbl>
            <w:tblPr>
              <w:tblStyle w:val="TableGrid"/>
              <w:tblW w:w="3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74"/>
              <w:gridCol w:w="1697"/>
            </w:tblGrid>
            <w:tr w:rsidR="00A4399B" w:rsidRPr="00A4399B" w14:paraId="259735BE" w14:textId="77777777" w:rsidTr="00460BBD">
              <w:trPr>
                <w:trHeight w:val="10"/>
              </w:trPr>
              <w:tc>
                <w:tcPr>
                  <w:tcW w:w="1874" w:type="dxa"/>
                  <w:vAlign w:val="bottom"/>
                </w:tcPr>
                <w:p w14:paraId="5D65D33D" w14:textId="77777777" w:rsidR="00A142CB" w:rsidRPr="00A4399B" w:rsidRDefault="00A142CB" w:rsidP="00675939">
                  <w:pPr>
                    <w:tabs>
                      <w:tab w:val="left" w:pos="1502"/>
                      <w:tab w:val="left" w:pos="2694"/>
                    </w:tabs>
                    <w:ind w:left="-79"/>
                    <w:rPr>
                      <w:rFonts w:ascii="Arial" w:hAnsi="Arial" w:cs="Arial"/>
                      <w:sz w:val="24"/>
                      <w:szCs w:val="24"/>
                    </w:rPr>
                  </w:pPr>
                  <w:r w:rsidRPr="00A4399B">
                    <w:rPr>
                      <w:rFonts w:ascii="Arial" w:hAnsi="Arial" w:cs="Arial"/>
                    </w:rPr>
                    <w:t>Appeal Number</w:t>
                  </w:r>
                </w:p>
              </w:tc>
              <w:tc>
                <w:tcPr>
                  <w:tcW w:w="1697" w:type="dxa"/>
                  <w:vAlign w:val="bottom"/>
                </w:tcPr>
                <w:p w14:paraId="2665AC7E" w14:textId="7D94C42B" w:rsidR="00A142CB" w:rsidRPr="00A4399B" w:rsidRDefault="00A142CB" w:rsidP="00675939">
                  <w:pPr>
                    <w:tabs>
                      <w:tab w:val="left" w:pos="2694"/>
                    </w:tabs>
                    <w:ind w:left="-79"/>
                    <w:rPr>
                      <w:rFonts w:ascii="Arial" w:hAnsi="Arial" w:cs="Arial"/>
                      <w:sz w:val="24"/>
                      <w:szCs w:val="24"/>
                    </w:rPr>
                  </w:pPr>
                  <w:r w:rsidRPr="00A4399B">
                    <w:rPr>
                      <w:rFonts w:ascii="Arial" w:hAnsi="Arial" w:cs="Arial"/>
                    </w:rPr>
                    <w:t xml:space="preserve"> </w:t>
                  </w:r>
                  <w:r w:rsidR="00683897" w:rsidRPr="00A4399B">
                    <w:rPr>
                      <w:rFonts w:ascii="Arial" w:hAnsi="Arial" w:cs="Arial"/>
                      <w:b/>
                    </w:rPr>
                    <w:t>AS/21/02/42852</w:t>
                  </w:r>
                  <w:r w:rsidR="00683897" w:rsidRPr="00A4399B">
                    <w:rPr>
                      <w:rFonts w:ascii="Arial" w:hAnsi="Arial" w:cs="Arial"/>
                    </w:rPr>
                    <w:t>.</w:t>
                  </w:r>
                </w:p>
              </w:tc>
            </w:tr>
            <w:tr w:rsidR="00A4399B" w:rsidRPr="00A4399B" w14:paraId="1587249A" w14:textId="77777777" w:rsidTr="00460BBD">
              <w:trPr>
                <w:trHeight w:val="8"/>
              </w:trPr>
              <w:tc>
                <w:tcPr>
                  <w:tcW w:w="1874" w:type="dxa"/>
                  <w:vAlign w:val="bottom"/>
                </w:tcPr>
                <w:p w14:paraId="34F576F1" w14:textId="77777777" w:rsidR="00A142CB" w:rsidRPr="00A4399B" w:rsidRDefault="00D92C44" w:rsidP="00675939">
                  <w:pPr>
                    <w:tabs>
                      <w:tab w:val="left" w:pos="1502"/>
                      <w:tab w:val="left" w:pos="2694"/>
                    </w:tabs>
                    <w:ind w:left="-79"/>
                    <w:rPr>
                      <w:rFonts w:ascii="Arial" w:hAnsi="Arial" w:cs="Arial"/>
                      <w:sz w:val="24"/>
                      <w:szCs w:val="24"/>
                    </w:rPr>
                  </w:pPr>
                  <w:r w:rsidRPr="00A4399B">
                    <w:rPr>
                      <w:rFonts w:ascii="Arial" w:hAnsi="Arial" w:cs="Arial"/>
                    </w:rPr>
                    <w:t>Home Office</w:t>
                  </w:r>
                  <w:r w:rsidR="00A142CB" w:rsidRPr="00A4399B">
                    <w:rPr>
                      <w:rFonts w:ascii="Arial" w:hAnsi="Arial" w:cs="Arial"/>
                    </w:rPr>
                    <w:t xml:space="preserve"> Ref</w:t>
                  </w:r>
                  <w:r w:rsidR="00675939" w:rsidRPr="00A4399B">
                    <w:rPr>
                      <w:rFonts w:ascii="Arial" w:hAnsi="Arial" w:cs="Arial"/>
                      <w:sz w:val="24"/>
                      <w:szCs w:val="24"/>
                    </w:rPr>
                    <w:t>.</w:t>
                  </w:r>
                </w:p>
              </w:tc>
              <w:tc>
                <w:tcPr>
                  <w:tcW w:w="1697" w:type="dxa"/>
                  <w:vAlign w:val="bottom"/>
                </w:tcPr>
                <w:p w14:paraId="47E0C8E0" w14:textId="38445365" w:rsidR="00A142CB" w:rsidRPr="00A4399B" w:rsidRDefault="00A142CB" w:rsidP="00675939">
                  <w:pPr>
                    <w:tabs>
                      <w:tab w:val="left" w:pos="2694"/>
                    </w:tabs>
                    <w:ind w:left="-79"/>
                    <w:rPr>
                      <w:rFonts w:ascii="Arial" w:hAnsi="Arial" w:cs="Arial"/>
                    </w:rPr>
                  </w:pPr>
                  <w:r w:rsidRPr="00A4399B">
                    <w:rPr>
                      <w:rFonts w:ascii="Arial" w:hAnsi="Arial" w:cs="Arial"/>
                    </w:rPr>
                    <w:t xml:space="preserve">: </w:t>
                  </w:r>
                </w:p>
              </w:tc>
            </w:tr>
            <w:tr w:rsidR="00A4399B" w:rsidRPr="00A4399B" w14:paraId="305142CB" w14:textId="77777777" w:rsidTr="00460BBD">
              <w:trPr>
                <w:trHeight w:val="10"/>
              </w:trPr>
              <w:tc>
                <w:tcPr>
                  <w:tcW w:w="1874" w:type="dxa"/>
                  <w:vAlign w:val="bottom"/>
                </w:tcPr>
                <w:p w14:paraId="7C93D8A5" w14:textId="77777777" w:rsidR="00A142CB" w:rsidRPr="00A4399B" w:rsidRDefault="00A142CB" w:rsidP="00675939">
                  <w:pPr>
                    <w:tabs>
                      <w:tab w:val="left" w:pos="1502"/>
                      <w:tab w:val="left" w:pos="2694"/>
                    </w:tabs>
                    <w:ind w:left="-79"/>
                    <w:rPr>
                      <w:rFonts w:ascii="Arial" w:hAnsi="Arial" w:cs="Arial"/>
                      <w:sz w:val="24"/>
                      <w:szCs w:val="24"/>
                    </w:rPr>
                  </w:pPr>
                  <w:r w:rsidRPr="00A4399B">
                    <w:rPr>
                      <w:rFonts w:ascii="Arial" w:hAnsi="Arial" w:cs="Arial"/>
                    </w:rPr>
                    <w:t>Appellant’s Ref</w:t>
                  </w:r>
                  <w:r w:rsidR="00675939" w:rsidRPr="00A4399B">
                    <w:rPr>
                      <w:rFonts w:ascii="Arial" w:hAnsi="Arial" w:cs="Arial"/>
                      <w:sz w:val="24"/>
                      <w:szCs w:val="24"/>
                    </w:rPr>
                    <w:t>.</w:t>
                  </w:r>
                </w:p>
              </w:tc>
              <w:tc>
                <w:tcPr>
                  <w:tcW w:w="1697" w:type="dxa"/>
                  <w:vAlign w:val="bottom"/>
                </w:tcPr>
                <w:p w14:paraId="4EEB34B1" w14:textId="77777777" w:rsidR="00A142CB" w:rsidRPr="00A4399B" w:rsidRDefault="00A142CB" w:rsidP="00675939">
                  <w:pPr>
                    <w:tabs>
                      <w:tab w:val="left" w:pos="2694"/>
                    </w:tabs>
                    <w:ind w:left="-79"/>
                    <w:rPr>
                      <w:rFonts w:ascii="Arial" w:hAnsi="Arial" w:cs="Arial"/>
                    </w:rPr>
                  </w:pPr>
                  <w:r w:rsidRPr="00A4399B">
                    <w:rPr>
                      <w:rFonts w:ascii="Arial" w:hAnsi="Arial" w:cs="Arial"/>
                    </w:rPr>
                    <w:t xml:space="preserve">: </w:t>
                  </w:r>
                  <w:r w:rsidRPr="00A4399B">
                    <w:rPr>
                      <w:rFonts w:ascii="Arial" w:hAnsi="Arial" w:cs="Arial"/>
                    </w:rPr>
                    <w:fldChar w:fldCharType="begin">
                      <w:ffData>
                        <w:name w:val="Text6"/>
                        <w:enabled/>
                        <w:calcOnExit w:val="0"/>
                        <w:textInput/>
                      </w:ffData>
                    </w:fldChar>
                  </w:r>
                  <w:r w:rsidRPr="00A4399B">
                    <w:rPr>
                      <w:rFonts w:ascii="Arial" w:hAnsi="Arial" w:cs="Arial"/>
                    </w:rPr>
                    <w:instrText xml:space="preserve"> FORMTEXT </w:instrText>
                  </w:r>
                  <w:r w:rsidRPr="00A4399B">
                    <w:rPr>
                      <w:rFonts w:ascii="Arial" w:hAnsi="Arial" w:cs="Arial"/>
                    </w:rPr>
                  </w:r>
                  <w:r w:rsidRPr="00A4399B">
                    <w:rPr>
                      <w:rFonts w:ascii="Arial" w:hAnsi="Arial" w:cs="Arial"/>
                    </w:rPr>
                    <w:fldChar w:fldCharType="separate"/>
                  </w:r>
                  <w:r w:rsidR="008D1333" w:rsidRPr="00A4399B">
                    <w:rPr>
                      <w:rFonts w:ascii="Arial" w:hAnsi="Arial" w:cs="Arial"/>
                      <w:noProof/>
                    </w:rPr>
                    <w:t> </w:t>
                  </w:r>
                  <w:r w:rsidR="008D1333" w:rsidRPr="00A4399B">
                    <w:rPr>
                      <w:rFonts w:ascii="Arial" w:hAnsi="Arial" w:cs="Arial"/>
                      <w:noProof/>
                    </w:rPr>
                    <w:t> </w:t>
                  </w:r>
                  <w:r w:rsidR="008D1333" w:rsidRPr="00A4399B">
                    <w:rPr>
                      <w:rFonts w:ascii="Arial" w:hAnsi="Arial" w:cs="Arial"/>
                      <w:noProof/>
                    </w:rPr>
                    <w:t> </w:t>
                  </w:r>
                  <w:r w:rsidR="008D1333" w:rsidRPr="00A4399B">
                    <w:rPr>
                      <w:rFonts w:ascii="Arial" w:hAnsi="Arial" w:cs="Arial"/>
                      <w:noProof/>
                    </w:rPr>
                    <w:t> </w:t>
                  </w:r>
                  <w:r w:rsidR="008D1333" w:rsidRPr="00A4399B">
                    <w:rPr>
                      <w:rFonts w:ascii="Arial" w:hAnsi="Arial" w:cs="Arial"/>
                      <w:noProof/>
                    </w:rPr>
                    <w:t> </w:t>
                  </w:r>
                  <w:r w:rsidRPr="00A4399B">
                    <w:rPr>
                      <w:rFonts w:ascii="Arial" w:hAnsi="Arial" w:cs="Arial"/>
                    </w:rPr>
                    <w:fldChar w:fldCharType="end"/>
                  </w:r>
                </w:p>
              </w:tc>
            </w:tr>
            <w:tr w:rsidR="00A4399B" w:rsidRPr="00A4399B" w14:paraId="634E0CA7" w14:textId="77777777" w:rsidTr="00460BBD">
              <w:trPr>
                <w:trHeight w:val="3"/>
              </w:trPr>
              <w:tc>
                <w:tcPr>
                  <w:tcW w:w="1874" w:type="dxa"/>
                </w:tcPr>
                <w:p w14:paraId="387C2D14" w14:textId="77777777" w:rsidR="00A142CB" w:rsidRPr="00A4399B" w:rsidRDefault="00A142CB" w:rsidP="00A142CB">
                  <w:pPr>
                    <w:tabs>
                      <w:tab w:val="left" w:pos="2694"/>
                    </w:tabs>
                    <w:spacing w:line="360" w:lineRule="auto"/>
                    <w:ind w:left="-79"/>
                    <w:rPr>
                      <w:rFonts w:ascii="Arial" w:hAnsi="Arial" w:cs="Arial"/>
                      <w:sz w:val="16"/>
                      <w:szCs w:val="16"/>
                    </w:rPr>
                  </w:pPr>
                </w:p>
              </w:tc>
              <w:tc>
                <w:tcPr>
                  <w:tcW w:w="1697" w:type="dxa"/>
                </w:tcPr>
                <w:p w14:paraId="0EDA2F1C" w14:textId="77777777" w:rsidR="00A142CB" w:rsidRPr="00A4399B" w:rsidRDefault="00A142CB" w:rsidP="00A142CB">
                  <w:pPr>
                    <w:tabs>
                      <w:tab w:val="left" w:pos="2694"/>
                    </w:tabs>
                    <w:spacing w:line="360" w:lineRule="auto"/>
                    <w:ind w:left="-79"/>
                    <w:rPr>
                      <w:rFonts w:ascii="Arial" w:hAnsi="Arial" w:cs="Arial"/>
                      <w:sz w:val="16"/>
                      <w:szCs w:val="16"/>
                    </w:rPr>
                  </w:pPr>
                </w:p>
              </w:tc>
            </w:tr>
            <w:tr w:rsidR="00A4399B" w:rsidRPr="00A4399B" w14:paraId="23E9C605" w14:textId="77777777" w:rsidTr="00460BBD">
              <w:trPr>
                <w:trHeight w:val="9"/>
              </w:trPr>
              <w:tc>
                <w:tcPr>
                  <w:tcW w:w="3571" w:type="dxa"/>
                  <w:gridSpan w:val="2"/>
                </w:tcPr>
                <w:p w14:paraId="44484772" w14:textId="77777777" w:rsidR="00A773BF" w:rsidRPr="00A4399B" w:rsidRDefault="00A773BF" w:rsidP="00A142CB">
                  <w:pPr>
                    <w:tabs>
                      <w:tab w:val="left" w:pos="2694"/>
                    </w:tabs>
                    <w:spacing w:line="360" w:lineRule="auto"/>
                    <w:ind w:left="-79"/>
                    <w:rPr>
                      <w:rFonts w:ascii="Arial" w:hAnsi="Arial" w:cs="Arial"/>
                    </w:rPr>
                  </w:pPr>
                </w:p>
              </w:tc>
            </w:tr>
          </w:tbl>
          <w:p w14:paraId="5A5E6CFB" w14:textId="77777777" w:rsidR="00BB5B44" w:rsidRPr="00A4399B" w:rsidRDefault="00BB5B44" w:rsidP="00A520B8">
            <w:pPr>
              <w:pStyle w:val="Footer"/>
              <w:tabs>
                <w:tab w:val="clear" w:pos="9072"/>
                <w:tab w:val="left" w:pos="-720"/>
                <w:tab w:val="left" w:pos="1440"/>
              </w:tabs>
              <w:suppressAutoHyphens/>
              <w:spacing w:after="60"/>
              <w:jc w:val="both"/>
              <w:rPr>
                <w:rFonts w:ascii="Arial" w:hAnsi="Arial" w:cs="Arial"/>
                <w:spacing w:val="-2"/>
                <w:sz w:val="20"/>
              </w:rPr>
            </w:pPr>
          </w:p>
        </w:tc>
      </w:tr>
      <w:tr w:rsidR="00A4399B" w:rsidRPr="00A4399B" w14:paraId="416D075D" w14:textId="77777777" w:rsidTr="00460BBD">
        <w:trPr>
          <w:cantSplit/>
          <w:trHeight w:val="167"/>
        </w:trPr>
        <w:tc>
          <w:tcPr>
            <w:tcW w:w="5344" w:type="dxa"/>
            <w:tcBorders>
              <w:top w:val="nil"/>
              <w:left w:val="nil"/>
              <w:bottom w:val="nil"/>
              <w:right w:val="nil"/>
            </w:tcBorders>
          </w:tcPr>
          <w:p w14:paraId="38A0D6B4" w14:textId="39DF115B" w:rsidR="001332A2" w:rsidRPr="00A4399B" w:rsidRDefault="001332A2" w:rsidP="00BB5B44">
            <w:pPr>
              <w:tabs>
                <w:tab w:val="left" w:pos="2694"/>
              </w:tabs>
              <w:rPr>
                <w:b/>
                <w:noProof/>
                <w:spacing w:val="-2"/>
              </w:rPr>
            </w:pPr>
          </w:p>
        </w:tc>
        <w:tc>
          <w:tcPr>
            <w:tcW w:w="4845" w:type="dxa"/>
            <w:tcBorders>
              <w:top w:val="nil"/>
              <w:left w:val="nil"/>
              <w:bottom w:val="nil"/>
              <w:right w:val="nil"/>
            </w:tcBorders>
          </w:tcPr>
          <w:p w14:paraId="0D5999C6" w14:textId="77777777" w:rsidR="00F0485C" w:rsidRPr="00A4399B" w:rsidRDefault="00F0485C" w:rsidP="00A773BF">
            <w:pPr>
              <w:rPr>
                <w:rFonts w:ascii="Arial" w:hAnsi="Arial" w:cs="Arial"/>
              </w:rPr>
            </w:pPr>
          </w:p>
        </w:tc>
      </w:tr>
    </w:tbl>
    <w:p w14:paraId="506284EE" w14:textId="77777777" w:rsidR="00B41E7D" w:rsidRPr="00A4399B" w:rsidRDefault="00B41E7D" w:rsidP="00BB5B44">
      <w:pPr>
        <w:pStyle w:val="Heading1"/>
        <w:jc w:val="center"/>
        <w:rPr>
          <w:rFonts w:ascii="Arial" w:hAnsi="Arial" w:cs="Arial"/>
          <w:b/>
          <w:sz w:val="22"/>
          <w:szCs w:val="22"/>
          <w:u w:val="single"/>
        </w:rPr>
      </w:pPr>
      <w:r w:rsidRPr="00A4399B">
        <w:rPr>
          <w:rFonts w:ascii="Arial" w:hAnsi="Arial" w:cs="Arial"/>
          <w:b/>
          <w:sz w:val="22"/>
          <w:szCs w:val="22"/>
          <w:u w:val="single"/>
        </w:rPr>
        <w:t>IMMIGRATION AND ASYLUM ACT 1999</w:t>
      </w:r>
    </w:p>
    <w:p w14:paraId="6E9287F6" w14:textId="77777777" w:rsidR="00FC6222" w:rsidRPr="00A4399B" w:rsidRDefault="009731C7">
      <w:pPr>
        <w:jc w:val="center"/>
        <w:rPr>
          <w:rFonts w:ascii="Arial" w:hAnsi="Arial" w:cs="Arial"/>
          <w:b/>
          <w:sz w:val="22"/>
          <w:szCs w:val="22"/>
          <w:u w:val="single"/>
        </w:rPr>
      </w:pPr>
      <w:r w:rsidRPr="00A4399B">
        <w:rPr>
          <w:rFonts w:ascii="Arial" w:hAnsi="Arial" w:cs="Arial"/>
          <w:b/>
          <w:sz w:val="22"/>
          <w:szCs w:val="22"/>
          <w:u w:val="single"/>
        </w:rPr>
        <w:t xml:space="preserve">THE </w:t>
      </w:r>
      <w:r w:rsidR="00FC6222" w:rsidRPr="00A4399B">
        <w:rPr>
          <w:rFonts w:ascii="Arial" w:hAnsi="Arial" w:cs="Arial"/>
          <w:b/>
          <w:sz w:val="22"/>
          <w:szCs w:val="22"/>
          <w:u w:val="single"/>
        </w:rPr>
        <w:t xml:space="preserve">TRIBUNAL PROCEDURE (FIRST-TIER TRIBUNAL) </w:t>
      </w:r>
    </w:p>
    <w:p w14:paraId="0676CF9F" w14:textId="77777777" w:rsidR="00FC6222" w:rsidRPr="00A4399B" w:rsidRDefault="00FC6222">
      <w:pPr>
        <w:jc w:val="center"/>
        <w:rPr>
          <w:rFonts w:ascii="Arial" w:hAnsi="Arial" w:cs="Arial"/>
          <w:sz w:val="22"/>
          <w:szCs w:val="22"/>
        </w:rPr>
      </w:pPr>
      <w:r w:rsidRPr="00A4399B">
        <w:rPr>
          <w:rFonts w:ascii="Arial" w:hAnsi="Arial" w:cs="Arial"/>
          <w:b/>
          <w:sz w:val="22"/>
          <w:szCs w:val="22"/>
          <w:u w:val="single"/>
        </w:rPr>
        <w:t>(SOCIAL ENTITLEMENT CHAMBER) RULES 2008</w:t>
      </w:r>
    </w:p>
    <w:p w14:paraId="1707C5EE" w14:textId="4994B848" w:rsidR="00B41E7D" w:rsidRPr="00A4399B" w:rsidRDefault="00B41E7D" w:rsidP="003C3D63">
      <w:pPr>
        <w:rPr>
          <w:rFonts w:ascii="Arial" w:hAnsi="Arial" w:cs="Arial"/>
          <w:sz w:val="22"/>
          <w:szCs w:val="22"/>
        </w:rPr>
      </w:pP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28"/>
      </w:tblGrid>
      <w:tr w:rsidR="00A4399B" w:rsidRPr="00A4399B" w14:paraId="31B52310" w14:textId="77777777">
        <w:trPr>
          <w:trHeight w:val="400"/>
          <w:jc w:val="center"/>
        </w:trPr>
        <w:tc>
          <w:tcPr>
            <w:tcW w:w="2047" w:type="dxa"/>
            <w:tcBorders>
              <w:top w:val="nil"/>
              <w:left w:val="nil"/>
              <w:bottom w:val="nil"/>
              <w:right w:val="nil"/>
            </w:tcBorders>
            <w:vAlign w:val="bottom"/>
          </w:tcPr>
          <w:p w14:paraId="76D056B5" w14:textId="77777777" w:rsidR="00106DD7" w:rsidRPr="00A4399B" w:rsidRDefault="00852362" w:rsidP="00BB5B44">
            <w:pPr>
              <w:rPr>
                <w:rFonts w:ascii="Arial" w:hAnsi="Arial" w:cs="Arial"/>
                <w:sz w:val="22"/>
                <w:szCs w:val="22"/>
              </w:rPr>
            </w:pPr>
            <w:r w:rsidRPr="00A4399B">
              <w:rPr>
                <w:rFonts w:ascii="Arial" w:hAnsi="Arial" w:cs="Arial"/>
                <w:sz w:val="22"/>
                <w:szCs w:val="22"/>
              </w:rPr>
              <w:t xml:space="preserve">Tribunal </w:t>
            </w:r>
            <w:r w:rsidR="00D73685" w:rsidRPr="00A4399B">
              <w:rPr>
                <w:rFonts w:ascii="Arial" w:hAnsi="Arial" w:cs="Arial"/>
                <w:sz w:val="22"/>
                <w:szCs w:val="22"/>
              </w:rPr>
              <w:t>Judge</w:t>
            </w:r>
          </w:p>
        </w:tc>
        <w:tc>
          <w:tcPr>
            <w:tcW w:w="4428" w:type="dxa"/>
            <w:tcBorders>
              <w:top w:val="nil"/>
              <w:left w:val="nil"/>
              <w:bottom w:val="dotted" w:sz="4" w:space="0" w:color="auto"/>
              <w:right w:val="nil"/>
            </w:tcBorders>
            <w:vAlign w:val="bottom"/>
          </w:tcPr>
          <w:p w14:paraId="319B666D" w14:textId="2C10DFEC" w:rsidR="00106DD7" w:rsidRPr="00A4399B" w:rsidRDefault="00683897" w:rsidP="00BB5B44">
            <w:pPr>
              <w:rPr>
                <w:rFonts w:ascii="Arial" w:hAnsi="Arial" w:cs="Arial"/>
                <w:sz w:val="22"/>
                <w:szCs w:val="22"/>
              </w:rPr>
            </w:pPr>
            <w:r w:rsidRPr="00A4399B">
              <w:rPr>
                <w:rFonts w:ascii="Arial" w:hAnsi="Arial" w:cs="Arial"/>
                <w:sz w:val="22"/>
                <w:szCs w:val="22"/>
              </w:rPr>
              <w:fldChar w:fldCharType="begin">
                <w:ffData>
                  <w:name w:val="Dropdown3"/>
                  <w:enabled/>
                  <w:calcOnExit w:val="0"/>
                  <w:ddList>
                    <w:listEntry w:val="    Mrs Sehba Haroon Storey"/>
                    <w:listEntry w:val="Mr Richard Wilkin"/>
                    <w:listEntry w:val="   "/>
                    <w:listEntry w:val="    Ms Gill Carter"/>
                    <w:listEntry w:val="    Mr David Saunders"/>
                    <w:listEntry w:val="    Ms Sally Verity Smith"/>
                    <w:listEntry w:val="    Miss Salma Bashir"/>
                    <w:listEntry w:val="    Mr Richard Briden"/>
                    <w:listEntry w:val="    Ms Alison Lock"/>
                    <w:listEntry w:val="    Ms Fozia Rizvi"/>
                    <w:listEntry w:val="    Ms Jessica Wyman"/>
                  </w:ddList>
                </w:ffData>
              </w:fldChar>
            </w:r>
            <w:bookmarkStart w:id="0" w:name="Dropdown3"/>
            <w:r w:rsidRPr="00A4399B">
              <w:rPr>
                <w:rFonts w:ascii="Arial" w:hAnsi="Arial" w:cs="Arial"/>
                <w:sz w:val="22"/>
                <w:szCs w:val="22"/>
              </w:rPr>
              <w:instrText xml:space="preserve"> FORMDROPDOWN </w:instrText>
            </w:r>
            <w:r w:rsidR="00757EAE">
              <w:rPr>
                <w:rFonts w:ascii="Arial" w:hAnsi="Arial" w:cs="Arial"/>
                <w:sz w:val="22"/>
                <w:szCs w:val="22"/>
              </w:rPr>
            </w:r>
            <w:r w:rsidR="00757EAE">
              <w:rPr>
                <w:rFonts w:ascii="Arial" w:hAnsi="Arial" w:cs="Arial"/>
                <w:sz w:val="22"/>
                <w:szCs w:val="22"/>
              </w:rPr>
              <w:fldChar w:fldCharType="separate"/>
            </w:r>
            <w:r w:rsidRPr="00A4399B">
              <w:rPr>
                <w:rFonts w:ascii="Arial" w:hAnsi="Arial" w:cs="Arial"/>
                <w:sz w:val="22"/>
                <w:szCs w:val="22"/>
              </w:rPr>
              <w:fldChar w:fldCharType="end"/>
            </w:r>
            <w:bookmarkEnd w:id="0"/>
            <w:r w:rsidRPr="00A4399B">
              <w:rPr>
                <w:rFonts w:ascii="Arial" w:hAnsi="Arial" w:cs="Arial"/>
                <w:sz w:val="22"/>
                <w:szCs w:val="22"/>
              </w:rPr>
              <w:t xml:space="preserve"> </w:t>
            </w:r>
            <w:r w:rsidR="00717AAE" w:rsidRPr="00A4399B">
              <w:rPr>
                <w:rFonts w:ascii="Arial" w:hAnsi="Arial" w:cs="Arial"/>
                <w:sz w:val="22"/>
                <w:szCs w:val="22"/>
              </w:rPr>
              <w:fldChar w:fldCharType="begin">
                <w:ffData>
                  <w:name w:val=""/>
                  <w:enabled/>
                  <w:calcOnExit w:val="0"/>
                  <w:ddList>
                    <w:listEntry w:val="     "/>
                    <w:listEntry w:val="Ms Charlotte Bayati"/>
                    <w:listEntry w:val="Ms Julie Cornes"/>
                    <w:listEntry w:val="Ms Paulene Gandhi"/>
                    <w:listEntry w:val="Ms Sheila Grewal"/>
                    <w:listEntry w:val="Mr Rafaquat Hussain"/>
                    <w:listEntry w:val="Mr Sanjay Lal"/>
                    <w:listEntry w:val="Mr Ian Lewis"/>
                    <w:listEntry w:val="Ms Rebecca Owens"/>
                    <w:listEntry w:val="Mr Martin Penrose"/>
                    <w:listEntry w:val="Ms Margaret Phelan"/>
                    <w:listEntry w:val="Mr Christopher Rayner"/>
                    <w:listEntry w:val="Ms Fiona Ripley"/>
                    <w:listEntry w:val="Ms Joanna Swaney"/>
                    <w:listEntry w:val="Ms Anne-Marie Tottell"/>
                    <w:listEntry w:val="Mr Noor-ul Muzamil Khan"/>
                  </w:ddList>
                </w:ffData>
              </w:fldChar>
            </w:r>
            <w:r w:rsidR="00717AAE" w:rsidRPr="00A4399B">
              <w:rPr>
                <w:rFonts w:ascii="Arial" w:hAnsi="Arial" w:cs="Arial"/>
                <w:sz w:val="22"/>
                <w:szCs w:val="22"/>
              </w:rPr>
              <w:instrText xml:space="preserve"> FORMDROPDOWN </w:instrText>
            </w:r>
            <w:r w:rsidR="00757EAE">
              <w:rPr>
                <w:rFonts w:ascii="Arial" w:hAnsi="Arial" w:cs="Arial"/>
                <w:sz w:val="22"/>
                <w:szCs w:val="22"/>
              </w:rPr>
            </w:r>
            <w:r w:rsidR="00757EAE">
              <w:rPr>
                <w:rFonts w:ascii="Arial" w:hAnsi="Arial" w:cs="Arial"/>
                <w:sz w:val="22"/>
                <w:szCs w:val="22"/>
              </w:rPr>
              <w:fldChar w:fldCharType="separate"/>
            </w:r>
            <w:r w:rsidR="00717AAE" w:rsidRPr="00A4399B">
              <w:rPr>
                <w:rFonts w:ascii="Arial" w:hAnsi="Arial" w:cs="Arial"/>
                <w:sz w:val="22"/>
                <w:szCs w:val="22"/>
              </w:rPr>
              <w:fldChar w:fldCharType="end"/>
            </w:r>
          </w:p>
        </w:tc>
      </w:tr>
      <w:tr w:rsidR="00A4399B" w:rsidRPr="00A4399B" w14:paraId="4118A76A" w14:textId="77777777">
        <w:trPr>
          <w:trHeight w:val="400"/>
          <w:jc w:val="center"/>
        </w:trPr>
        <w:tc>
          <w:tcPr>
            <w:tcW w:w="2047" w:type="dxa"/>
            <w:tcBorders>
              <w:top w:val="nil"/>
              <w:left w:val="nil"/>
              <w:bottom w:val="nil"/>
              <w:right w:val="nil"/>
            </w:tcBorders>
            <w:vAlign w:val="bottom"/>
          </w:tcPr>
          <w:p w14:paraId="0D0EF0E3" w14:textId="77777777" w:rsidR="00B41E7D" w:rsidRPr="00A4399B" w:rsidRDefault="00106DD7" w:rsidP="00BB5B44">
            <w:pPr>
              <w:rPr>
                <w:rFonts w:ascii="Arial" w:hAnsi="Arial" w:cs="Arial"/>
                <w:sz w:val="22"/>
                <w:szCs w:val="22"/>
              </w:rPr>
            </w:pPr>
            <w:r w:rsidRPr="00A4399B">
              <w:rPr>
                <w:rFonts w:ascii="Arial" w:hAnsi="Arial" w:cs="Arial"/>
                <w:sz w:val="22"/>
                <w:szCs w:val="22"/>
              </w:rPr>
              <w:t>Appellant</w:t>
            </w:r>
          </w:p>
        </w:tc>
        <w:tc>
          <w:tcPr>
            <w:tcW w:w="4428" w:type="dxa"/>
            <w:tcBorders>
              <w:top w:val="nil"/>
              <w:left w:val="nil"/>
              <w:bottom w:val="dotted" w:sz="4" w:space="0" w:color="auto"/>
              <w:right w:val="nil"/>
            </w:tcBorders>
            <w:vAlign w:val="bottom"/>
          </w:tcPr>
          <w:p w14:paraId="113BE04D" w14:textId="21619F31" w:rsidR="00B41E7D" w:rsidRPr="00A4399B" w:rsidRDefault="00B41E7D" w:rsidP="00BB5B44">
            <w:pPr>
              <w:rPr>
                <w:rFonts w:ascii="Arial" w:hAnsi="Arial" w:cs="Arial"/>
                <w:sz w:val="22"/>
                <w:szCs w:val="22"/>
              </w:rPr>
            </w:pPr>
          </w:p>
        </w:tc>
      </w:tr>
      <w:tr w:rsidR="00A4399B" w:rsidRPr="00A4399B" w14:paraId="3718D1D1" w14:textId="77777777">
        <w:trPr>
          <w:trHeight w:val="400"/>
          <w:jc w:val="center"/>
        </w:trPr>
        <w:tc>
          <w:tcPr>
            <w:tcW w:w="2047" w:type="dxa"/>
            <w:tcBorders>
              <w:top w:val="nil"/>
              <w:left w:val="nil"/>
              <w:bottom w:val="nil"/>
              <w:right w:val="nil"/>
            </w:tcBorders>
            <w:vAlign w:val="bottom"/>
          </w:tcPr>
          <w:p w14:paraId="69DB653F" w14:textId="77777777" w:rsidR="00B41E7D" w:rsidRPr="00A4399B" w:rsidRDefault="00B41E7D" w:rsidP="00BB5B44">
            <w:pPr>
              <w:rPr>
                <w:rFonts w:ascii="Arial" w:hAnsi="Arial" w:cs="Arial"/>
                <w:sz w:val="22"/>
                <w:szCs w:val="22"/>
              </w:rPr>
            </w:pPr>
            <w:r w:rsidRPr="00A4399B">
              <w:rPr>
                <w:rFonts w:ascii="Arial" w:hAnsi="Arial" w:cs="Arial"/>
                <w:sz w:val="22"/>
                <w:szCs w:val="22"/>
              </w:rPr>
              <w:t>Respondent</w:t>
            </w:r>
          </w:p>
        </w:tc>
        <w:tc>
          <w:tcPr>
            <w:tcW w:w="4428" w:type="dxa"/>
            <w:tcBorders>
              <w:top w:val="dotted" w:sz="4" w:space="0" w:color="auto"/>
              <w:left w:val="nil"/>
              <w:bottom w:val="dotted" w:sz="4" w:space="0" w:color="auto"/>
              <w:right w:val="nil"/>
            </w:tcBorders>
            <w:vAlign w:val="bottom"/>
          </w:tcPr>
          <w:p w14:paraId="20C816A1" w14:textId="77777777" w:rsidR="00B41E7D" w:rsidRPr="00A4399B" w:rsidRDefault="00B41E7D" w:rsidP="00BB5B44">
            <w:pPr>
              <w:rPr>
                <w:rFonts w:ascii="Arial" w:hAnsi="Arial" w:cs="Arial"/>
                <w:sz w:val="22"/>
                <w:szCs w:val="22"/>
              </w:rPr>
            </w:pPr>
            <w:r w:rsidRPr="00A4399B">
              <w:rPr>
                <w:rFonts w:ascii="Arial" w:hAnsi="Arial" w:cs="Arial"/>
                <w:sz w:val="22"/>
                <w:szCs w:val="22"/>
              </w:rPr>
              <w:t>Secretary of State</w:t>
            </w:r>
          </w:p>
        </w:tc>
      </w:tr>
    </w:tbl>
    <w:p w14:paraId="4E3602A9" w14:textId="77777777" w:rsidR="00B41E7D" w:rsidRPr="00A4399B" w:rsidRDefault="00B41E7D" w:rsidP="00F94F46">
      <w:pPr>
        <w:rPr>
          <w:rFonts w:ascii="Arial" w:hAnsi="Arial" w:cs="Arial"/>
          <w:sz w:val="22"/>
          <w:szCs w:val="22"/>
        </w:rPr>
      </w:pPr>
      <w:r w:rsidRPr="00A4399B">
        <w:rPr>
          <w:rFonts w:ascii="Arial" w:hAnsi="Arial" w:cs="Arial"/>
          <w:sz w:val="22"/>
          <w:szCs w:val="22"/>
        </w:rPr>
        <w:tab/>
      </w:r>
    </w:p>
    <w:p w14:paraId="0910EF08" w14:textId="77777777" w:rsidR="001C00A2" w:rsidRPr="00A4399B" w:rsidRDefault="001C00A2" w:rsidP="00F94F46">
      <w:pPr>
        <w:pStyle w:val="Heading1"/>
        <w:jc w:val="center"/>
        <w:rPr>
          <w:rFonts w:ascii="Arial" w:hAnsi="Arial" w:cs="Arial"/>
          <w:b/>
          <w:sz w:val="22"/>
          <w:szCs w:val="22"/>
          <w:u w:val="single"/>
        </w:rPr>
      </w:pPr>
    </w:p>
    <w:p w14:paraId="69AEAD04" w14:textId="77777777" w:rsidR="00106DD7" w:rsidRPr="00A4399B" w:rsidRDefault="00106DD7" w:rsidP="00106DD7">
      <w:pPr>
        <w:pStyle w:val="Heading4"/>
        <w:jc w:val="center"/>
        <w:rPr>
          <w:rFonts w:ascii="Arial" w:hAnsi="Arial" w:cs="Arial"/>
          <w:szCs w:val="22"/>
          <w:u w:val="single"/>
        </w:rPr>
      </w:pPr>
      <w:r w:rsidRPr="00A4399B">
        <w:rPr>
          <w:rFonts w:ascii="Arial" w:hAnsi="Arial" w:cs="Arial"/>
          <w:szCs w:val="22"/>
          <w:u w:val="single"/>
        </w:rPr>
        <w:t>STATEMENT</w:t>
      </w:r>
      <w:r w:rsidR="00D53D71" w:rsidRPr="00A4399B">
        <w:rPr>
          <w:rFonts w:ascii="Arial" w:hAnsi="Arial" w:cs="Arial"/>
          <w:szCs w:val="22"/>
          <w:u w:val="single"/>
        </w:rPr>
        <w:t xml:space="preserve"> </w:t>
      </w:r>
      <w:r w:rsidR="0068740B" w:rsidRPr="00A4399B">
        <w:rPr>
          <w:rFonts w:ascii="Arial" w:hAnsi="Arial" w:cs="Arial"/>
          <w:szCs w:val="22"/>
          <w:u w:val="single"/>
        </w:rPr>
        <w:t>OF REASONS</w:t>
      </w:r>
    </w:p>
    <w:p w14:paraId="6D306B9C" w14:textId="7ABAC1BD" w:rsidR="00106DD7" w:rsidRPr="00A4399B" w:rsidRDefault="00106DD7" w:rsidP="00106DD7">
      <w:pPr>
        <w:rPr>
          <w:rFonts w:ascii="Arial" w:hAnsi="Arial" w:cs="Arial"/>
          <w:sz w:val="22"/>
          <w:szCs w:val="22"/>
        </w:rPr>
      </w:pPr>
    </w:p>
    <w:p w14:paraId="69A77C73" w14:textId="77777777" w:rsidR="00B27609" w:rsidRPr="00A4399B" w:rsidRDefault="00B27609" w:rsidP="00106DD7">
      <w:pPr>
        <w:rPr>
          <w:rFonts w:ascii="Arial" w:hAnsi="Arial" w:cs="Arial"/>
          <w:sz w:val="22"/>
          <w:szCs w:val="22"/>
        </w:rPr>
      </w:pPr>
    </w:p>
    <w:p w14:paraId="759D34DB" w14:textId="77777777" w:rsidR="00106DD7" w:rsidRPr="00A4399B" w:rsidRDefault="00106DD7" w:rsidP="00106DD7">
      <w:pPr>
        <w:rPr>
          <w:rFonts w:ascii="Arial" w:hAnsi="Arial" w:cs="Arial"/>
          <w:sz w:val="22"/>
          <w:szCs w:val="22"/>
        </w:rPr>
        <w:sectPr w:rsidR="00106DD7" w:rsidRPr="00A4399B" w:rsidSect="002C7145">
          <w:footerReference w:type="default" r:id="rId11"/>
          <w:pgSz w:w="11907" w:h="16840" w:code="9"/>
          <w:pgMar w:top="1135" w:right="1701" w:bottom="1276" w:left="1701" w:header="720" w:footer="720" w:gutter="0"/>
          <w:cols w:space="720"/>
        </w:sectPr>
      </w:pPr>
    </w:p>
    <w:p w14:paraId="7C2545E5" w14:textId="2A435BF9" w:rsidR="00106DD7" w:rsidRPr="00A4399B" w:rsidRDefault="00106DD7" w:rsidP="009F7DDF">
      <w:pPr>
        <w:numPr>
          <w:ilvl w:val="0"/>
          <w:numId w:val="3"/>
        </w:numPr>
        <w:tabs>
          <w:tab w:val="clear" w:pos="1004"/>
          <w:tab w:val="num" w:pos="567"/>
        </w:tabs>
        <w:ind w:left="0" w:firstLine="0"/>
        <w:jc w:val="both"/>
        <w:rPr>
          <w:rFonts w:ascii="Arial" w:hAnsi="Arial" w:cs="Arial"/>
          <w:sz w:val="22"/>
          <w:szCs w:val="22"/>
        </w:rPr>
      </w:pPr>
      <w:r w:rsidRPr="00A4399B">
        <w:rPr>
          <w:rFonts w:ascii="Arial" w:hAnsi="Arial" w:cs="Arial"/>
          <w:sz w:val="22"/>
          <w:szCs w:val="22"/>
        </w:rPr>
        <w:lastRenderedPageBreak/>
        <w:t xml:space="preserve">This </w:t>
      </w:r>
      <w:r w:rsidR="001059A4" w:rsidRPr="00A4399B">
        <w:rPr>
          <w:rFonts w:ascii="Arial" w:hAnsi="Arial" w:cs="Arial"/>
          <w:sz w:val="22"/>
          <w:szCs w:val="22"/>
        </w:rPr>
        <w:t xml:space="preserve">Statement of Reasons </w:t>
      </w:r>
      <w:r w:rsidR="00285073" w:rsidRPr="00A4399B">
        <w:rPr>
          <w:rFonts w:ascii="Arial" w:hAnsi="Arial" w:cs="Arial"/>
          <w:sz w:val="22"/>
          <w:szCs w:val="22"/>
        </w:rPr>
        <w:t>is made in accordance with R</w:t>
      </w:r>
      <w:r w:rsidRPr="00A4399B">
        <w:rPr>
          <w:rFonts w:ascii="Arial" w:hAnsi="Arial" w:cs="Arial"/>
          <w:sz w:val="22"/>
          <w:szCs w:val="22"/>
        </w:rPr>
        <w:t xml:space="preserve">ule </w:t>
      </w:r>
      <w:r w:rsidR="00D33417" w:rsidRPr="00A4399B">
        <w:rPr>
          <w:rFonts w:ascii="Arial" w:hAnsi="Arial" w:cs="Arial"/>
          <w:sz w:val="22"/>
          <w:szCs w:val="22"/>
        </w:rPr>
        <w:t>34</w:t>
      </w:r>
      <w:r w:rsidR="00285073" w:rsidRPr="00A4399B">
        <w:rPr>
          <w:rFonts w:ascii="Arial" w:hAnsi="Arial" w:cs="Arial"/>
          <w:sz w:val="22"/>
          <w:szCs w:val="22"/>
        </w:rPr>
        <w:t>(1)</w:t>
      </w:r>
      <w:r w:rsidRPr="00A4399B">
        <w:rPr>
          <w:rFonts w:ascii="Arial" w:hAnsi="Arial" w:cs="Arial"/>
          <w:sz w:val="22"/>
          <w:szCs w:val="22"/>
        </w:rPr>
        <w:t xml:space="preserve"> of the </w:t>
      </w:r>
      <w:r w:rsidR="00D33417" w:rsidRPr="00A4399B">
        <w:rPr>
          <w:rFonts w:ascii="Arial" w:hAnsi="Arial" w:cs="Arial"/>
          <w:sz w:val="22"/>
          <w:szCs w:val="22"/>
        </w:rPr>
        <w:t>Tribunal Procedure (First-tier Tribunal) (Social Entitlement Chamber) Rules 2008</w:t>
      </w:r>
      <w:r w:rsidR="005928D4" w:rsidRPr="00A4399B">
        <w:rPr>
          <w:rFonts w:ascii="Arial" w:hAnsi="Arial" w:cs="Arial"/>
          <w:sz w:val="22"/>
          <w:szCs w:val="22"/>
        </w:rPr>
        <w:t xml:space="preserve"> (the Tribunal Procedure Rules)</w:t>
      </w:r>
      <w:r w:rsidR="0055524A" w:rsidRPr="00A4399B">
        <w:rPr>
          <w:rFonts w:ascii="Arial" w:hAnsi="Arial" w:cs="Arial"/>
          <w:sz w:val="22"/>
          <w:szCs w:val="22"/>
        </w:rPr>
        <w:t xml:space="preserve"> </w:t>
      </w:r>
      <w:r w:rsidRPr="00A4399B">
        <w:rPr>
          <w:rFonts w:ascii="Arial" w:hAnsi="Arial" w:cs="Arial"/>
          <w:sz w:val="22"/>
          <w:szCs w:val="22"/>
        </w:rPr>
        <w:t xml:space="preserve">and gives reasons for the </w:t>
      </w:r>
      <w:r w:rsidR="00D33417" w:rsidRPr="00A4399B">
        <w:rPr>
          <w:rFonts w:ascii="Arial" w:hAnsi="Arial" w:cs="Arial"/>
          <w:sz w:val="22"/>
          <w:szCs w:val="22"/>
        </w:rPr>
        <w:t>decision</w:t>
      </w:r>
      <w:r w:rsidRPr="00A4399B">
        <w:rPr>
          <w:rFonts w:ascii="Arial" w:hAnsi="Arial" w:cs="Arial"/>
          <w:sz w:val="22"/>
          <w:szCs w:val="22"/>
        </w:rPr>
        <w:t xml:space="preserve"> </w:t>
      </w:r>
      <w:r w:rsidR="006C36B6" w:rsidRPr="00A4399B">
        <w:rPr>
          <w:rFonts w:ascii="Arial" w:hAnsi="Arial" w:cs="Arial"/>
          <w:sz w:val="22"/>
          <w:szCs w:val="22"/>
        </w:rPr>
        <w:t>made in the above appeal, heard on</w:t>
      </w:r>
      <w:r w:rsidRPr="00A4399B">
        <w:rPr>
          <w:rFonts w:ascii="Arial" w:hAnsi="Arial" w:cs="Arial"/>
          <w:sz w:val="22"/>
          <w:szCs w:val="22"/>
        </w:rPr>
        <w:t xml:space="preserve"> </w:t>
      </w:r>
      <w:r w:rsidR="004615B8" w:rsidRPr="00A4399B">
        <w:rPr>
          <w:rFonts w:ascii="Arial" w:hAnsi="Arial" w:cs="Arial"/>
          <w:bCs/>
          <w:sz w:val="22"/>
          <w:szCs w:val="22"/>
        </w:rPr>
        <w:t>21</w:t>
      </w:r>
      <w:r w:rsidR="004615B8" w:rsidRPr="00A4399B">
        <w:rPr>
          <w:rFonts w:ascii="Arial" w:hAnsi="Arial" w:cs="Arial"/>
          <w:sz w:val="22"/>
          <w:szCs w:val="22"/>
        </w:rPr>
        <w:t xml:space="preserve"> </w:t>
      </w:r>
      <w:r w:rsidR="004615B8" w:rsidRPr="00A4399B">
        <w:rPr>
          <w:rFonts w:ascii="Arial" w:hAnsi="Arial" w:cs="Arial"/>
          <w:bCs/>
          <w:sz w:val="22"/>
          <w:szCs w:val="22"/>
        </w:rPr>
        <w:t>April</w:t>
      </w:r>
      <w:r w:rsidRPr="00A4399B">
        <w:rPr>
          <w:rFonts w:ascii="Arial" w:hAnsi="Arial" w:cs="Arial"/>
          <w:bCs/>
          <w:sz w:val="22"/>
          <w:szCs w:val="22"/>
        </w:rPr>
        <w:t xml:space="preserve"> </w:t>
      </w:r>
      <w:r w:rsidR="004615B8" w:rsidRPr="00A4399B">
        <w:rPr>
          <w:rFonts w:ascii="Arial" w:hAnsi="Arial" w:cs="Arial"/>
          <w:bCs/>
          <w:sz w:val="22"/>
          <w:szCs w:val="22"/>
        </w:rPr>
        <w:t>2021</w:t>
      </w:r>
      <w:r w:rsidR="00FF6293">
        <w:rPr>
          <w:rFonts w:ascii="Arial" w:hAnsi="Arial" w:cs="Arial"/>
          <w:bCs/>
          <w:sz w:val="22"/>
          <w:szCs w:val="22"/>
        </w:rPr>
        <w:t>,</w:t>
      </w:r>
      <w:r w:rsidR="00C50F97" w:rsidRPr="00A4399B">
        <w:rPr>
          <w:rFonts w:ascii="Arial" w:hAnsi="Arial" w:cs="Arial"/>
          <w:bCs/>
          <w:sz w:val="22"/>
          <w:szCs w:val="22"/>
        </w:rPr>
        <w:t xml:space="preserve"> to</w:t>
      </w:r>
      <w:r w:rsidR="00D73C19" w:rsidRPr="00A4399B">
        <w:rPr>
          <w:rFonts w:ascii="Arial" w:hAnsi="Arial" w:cs="Arial"/>
          <w:sz w:val="22"/>
          <w:szCs w:val="22"/>
        </w:rPr>
        <w:t xml:space="preserve"> substitute my own decision for the decision </w:t>
      </w:r>
      <w:r w:rsidR="00CE436D" w:rsidRPr="00A4399B">
        <w:rPr>
          <w:rFonts w:ascii="Arial" w:hAnsi="Arial" w:cs="Arial"/>
          <w:sz w:val="22"/>
          <w:szCs w:val="22"/>
        </w:rPr>
        <w:t>of the Secretary of State</w:t>
      </w:r>
      <w:r w:rsidR="00AC057C" w:rsidRPr="00A4399B">
        <w:rPr>
          <w:rFonts w:ascii="Arial" w:hAnsi="Arial" w:cs="Arial"/>
          <w:sz w:val="22"/>
          <w:szCs w:val="22"/>
        </w:rPr>
        <w:t xml:space="preserve"> for the Home Department (SSHD) </w:t>
      </w:r>
      <w:r w:rsidR="00D73C19" w:rsidRPr="00A4399B">
        <w:rPr>
          <w:rFonts w:ascii="Arial" w:hAnsi="Arial" w:cs="Arial"/>
          <w:sz w:val="22"/>
          <w:szCs w:val="22"/>
        </w:rPr>
        <w:t xml:space="preserve">with the effect that the appellant </w:t>
      </w:r>
      <w:r w:rsidR="001F5311" w:rsidRPr="00A4399B">
        <w:rPr>
          <w:rFonts w:ascii="Arial" w:hAnsi="Arial" w:cs="Arial"/>
          <w:sz w:val="22"/>
          <w:szCs w:val="22"/>
        </w:rPr>
        <w:t>is entitled to the provision of section 4(2)</w:t>
      </w:r>
      <w:r w:rsidR="00D73C19" w:rsidRPr="00A4399B">
        <w:rPr>
          <w:rFonts w:ascii="Arial" w:hAnsi="Arial" w:cs="Arial"/>
          <w:sz w:val="22"/>
          <w:szCs w:val="22"/>
        </w:rPr>
        <w:t xml:space="preserve"> support</w:t>
      </w:r>
      <w:r w:rsidR="00D73C19" w:rsidRPr="00A4399B">
        <w:rPr>
          <w:rFonts w:ascii="Arial" w:hAnsi="Arial" w:cs="Arial"/>
          <w:i/>
          <w:sz w:val="18"/>
          <w:szCs w:val="18"/>
        </w:rPr>
        <w:t xml:space="preserve">. </w:t>
      </w:r>
    </w:p>
    <w:p w14:paraId="20B85AFA" w14:textId="77777777" w:rsidR="00064BBB" w:rsidRPr="00A4399B" w:rsidRDefault="00064BBB" w:rsidP="00064BBB">
      <w:pPr>
        <w:jc w:val="both"/>
        <w:rPr>
          <w:rFonts w:ascii="Arial" w:hAnsi="Arial" w:cs="Arial"/>
          <w:sz w:val="22"/>
          <w:szCs w:val="22"/>
        </w:rPr>
      </w:pPr>
    </w:p>
    <w:p w14:paraId="5D039805" w14:textId="0E3A5C01" w:rsidR="00064BBB" w:rsidRPr="00A4399B" w:rsidRDefault="002031A9" w:rsidP="009F7DDF">
      <w:pPr>
        <w:numPr>
          <w:ilvl w:val="0"/>
          <w:numId w:val="3"/>
        </w:numPr>
        <w:tabs>
          <w:tab w:val="clear" w:pos="1004"/>
          <w:tab w:val="num" w:pos="567"/>
        </w:tabs>
        <w:ind w:left="0" w:firstLine="0"/>
        <w:jc w:val="both"/>
        <w:rPr>
          <w:rFonts w:ascii="Arial" w:hAnsi="Arial" w:cs="Arial"/>
          <w:sz w:val="22"/>
          <w:szCs w:val="22"/>
        </w:rPr>
      </w:pPr>
      <w:r w:rsidRPr="00A4399B">
        <w:rPr>
          <w:rFonts w:ascii="Arial" w:hAnsi="Arial" w:cs="Arial"/>
          <w:sz w:val="22"/>
          <w:szCs w:val="22"/>
        </w:rPr>
        <w:t>In these proceedings, t</w:t>
      </w:r>
      <w:r w:rsidR="00064BBB" w:rsidRPr="00A4399B">
        <w:rPr>
          <w:rFonts w:ascii="Arial" w:hAnsi="Arial" w:cs="Arial"/>
          <w:sz w:val="22"/>
          <w:szCs w:val="22"/>
        </w:rPr>
        <w:t>he appellant is represented by</w:t>
      </w:r>
      <w:r w:rsidRPr="00A4399B">
        <w:rPr>
          <w:rFonts w:ascii="Arial" w:hAnsi="Arial" w:cs="Arial"/>
          <w:sz w:val="22"/>
          <w:szCs w:val="22"/>
        </w:rPr>
        <w:t xml:space="preserve"> </w:t>
      </w:r>
      <w:r w:rsidR="00BB6B00" w:rsidRPr="00A4399B">
        <w:rPr>
          <w:rFonts w:ascii="Arial" w:hAnsi="Arial" w:cs="Arial"/>
          <w:sz w:val="22"/>
          <w:szCs w:val="22"/>
        </w:rPr>
        <w:t>c</w:t>
      </w:r>
      <w:r w:rsidRPr="00A4399B">
        <w:rPr>
          <w:rFonts w:ascii="Arial" w:hAnsi="Arial" w:cs="Arial"/>
          <w:sz w:val="22"/>
          <w:szCs w:val="22"/>
        </w:rPr>
        <w:t>ounsel Mr Simon Cox</w:t>
      </w:r>
      <w:r w:rsidR="00CF3413" w:rsidRPr="00A4399B">
        <w:rPr>
          <w:rFonts w:ascii="Arial" w:hAnsi="Arial" w:cs="Arial"/>
          <w:sz w:val="22"/>
          <w:szCs w:val="22"/>
        </w:rPr>
        <w:t xml:space="preserve"> assisted by</w:t>
      </w:r>
      <w:r w:rsidR="0074484B" w:rsidRPr="00A4399B">
        <w:rPr>
          <w:rFonts w:ascii="Arial" w:hAnsi="Arial" w:cs="Arial"/>
          <w:sz w:val="22"/>
          <w:szCs w:val="22"/>
        </w:rPr>
        <w:t xml:space="preserve"> junior counsel Mr Donnchadh Greene </w:t>
      </w:r>
      <w:r w:rsidRPr="00A4399B">
        <w:rPr>
          <w:rFonts w:ascii="Arial" w:hAnsi="Arial" w:cs="Arial"/>
          <w:sz w:val="22"/>
          <w:szCs w:val="22"/>
        </w:rPr>
        <w:t>of Doughty Street Chambers</w:t>
      </w:r>
      <w:r w:rsidR="004F5782" w:rsidRPr="00A4399B">
        <w:rPr>
          <w:rFonts w:ascii="Arial" w:hAnsi="Arial" w:cs="Arial"/>
          <w:sz w:val="22"/>
          <w:szCs w:val="22"/>
        </w:rPr>
        <w:t xml:space="preserve"> on the instructions of Deighton Pierce Glynn (DPG</w:t>
      </w:r>
      <w:r w:rsidR="00DA4206" w:rsidRPr="00A4399B">
        <w:rPr>
          <w:rFonts w:ascii="Arial" w:hAnsi="Arial" w:cs="Arial"/>
          <w:sz w:val="22"/>
          <w:szCs w:val="22"/>
        </w:rPr>
        <w:t>) solicitors. Also involved in the appellant</w:t>
      </w:r>
      <w:r w:rsidR="004961BF" w:rsidRPr="00A4399B">
        <w:rPr>
          <w:rFonts w:ascii="Arial" w:hAnsi="Arial" w:cs="Arial"/>
          <w:sz w:val="22"/>
          <w:szCs w:val="22"/>
        </w:rPr>
        <w:t>’</w:t>
      </w:r>
      <w:r w:rsidR="00DA4206" w:rsidRPr="00A4399B">
        <w:rPr>
          <w:rFonts w:ascii="Arial" w:hAnsi="Arial" w:cs="Arial"/>
          <w:sz w:val="22"/>
          <w:szCs w:val="22"/>
        </w:rPr>
        <w:t>s</w:t>
      </w:r>
      <w:r w:rsidR="008A38E3" w:rsidRPr="00A4399B">
        <w:rPr>
          <w:rFonts w:ascii="Arial" w:hAnsi="Arial" w:cs="Arial"/>
          <w:sz w:val="22"/>
          <w:szCs w:val="22"/>
        </w:rPr>
        <w:t xml:space="preserve"> representation are the </w:t>
      </w:r>
      <w:r w:rsidR="00F31506">
        <w:rPr>
          <w:rFonts w:ascii="Arial" w:hAnsi="Arial" w:cs="Arial"/>
          <w:sz w:val="22"/>
          <w:szCs w:val="22"/>
        </w:rPr>
        <w:t xml:space="preserve">British </w:t>
      </w:r>
      <w:r w:rsidR="008A38E3" w:rsidRPr="00A4399B">
        <w:rPr>
          <w:rFonts w:ascii="Arial" w:hAnsi="Arial" w:cs="Arial"/>
          <w:sz w:val="22"/>
          <w:szCs w:val="22"/>
        </w:rPr>
        <w:t>Red Cros</w:t>
      </w:r>
      <w:r w:rsidR="003B1351" w:rsidRPr="00A4399B">
        <w:rPr>
          <w:rFonts w:ascii="Arial" w:hAnsi="Arial" w:cs="Arial"/>
          <w:sz w:val="22"/>
          <w:szCs w:val="22"/>
        </w:rPr>
        <w:t xml:space="preserve">s </w:t>
      </w:r>
      <w:r w:rsidR="00F31506">
        <w:rPr>
          <w:rFonts w:ascii="Arial" w:hAnsi="Arial" w:cs="Arial"/>
          <w:sz w:val="22"/>
          <w:szCs w:val="22"/>
        </w:rPr>
        <w:t xml:space="preserve">Society </w:t>
      </w:r>
      <w:r w:rsidR="003B1351" w:rsidRPr="00A4399B">
        <w:rPr>
          <w:rFonts w:ascii="Arial" w:hAnsi="Arial" w:cs="Arial"/>
          <w:sz w:val="22"/>
          <w:szCs w:val="22"/>
        </w:rPr>
        <w:t>and the Asylum Support Appeals Project. The respondent is</w:t>
      </w:r>
      <w:r w:rsidR="00CB5431" w:rsidRPr="00A4399B">
        <w:rPr>
          <w:rFonts w:ascii="Arial" w:hAnsi="Arial" w:cs="Arial"/>
          <w:sz w:val="22"/>
          <w:szCs w:val="22"/>
        </w:rPr>
        <w:t xml:space="preserve"> represented</w:t>
      </w:r>
      <w:r w:rsidR="00407569" w:rsidRPr="00A4399B">
        <w:rPr>
          <w:rFonts w:ascii="Arial" w:hAnsi="Arial" w:cs="Arial"/>
          <w:sz w:val="22"/>
          <w:szCs w:val="22"/>
        </w:rPr>
        <w:t xml:space="preserve"> </w:t>
      </w:r>
      <w:r w:rsidR="006569E6" w:rsidRPr="00A4399B">
        <w:rPr>
          <w:rFonts w:ascii="Arial" w:hAnsi="Arial" w:cs="Arial"/>
          <w:sz w:val="22"/>
          <w:szCs w:val="22"/>
        </w:rPr>
        <w:t>by</w:t>
      </w:r>
      <w:r w:rsidR="006C0A02" w:rsidRPr="00A4399B">
        <w:rPr>
          <w:rFonts w:ascii="Arial" w:hAnsi="Arial" w:cs="Arial"/>
          <w:sz w:val="22"/>
          <w:szCs w:val="22"/>
        </w:rPr>
        <w:t xml:space="preserve"> </w:t>
      </w:r>
      <w:r w:rsidR="00FF4847" w:rsidRPr="00A4399B">
        <w:rPr>
          <w:rFonts w:ascii="Arial" w:hAnsi="Arial" w:cs="Arial"/>
          <w:sz w:val="22"/>
          <w:szCs w:val="22"/>
        </w:rPr>
        <w:t xml:space="preserve">Ms Idelbi assisted by </w:t>
      </w:r>
      <w:r w:rsidR="00F20B0B" w:rsidRPr="00A4399B">
        <w:rPr>
          <w:rFonts w:ascii="Arial" w:hAnsi="Arial" w:cs="Arial"/>
          <w:sz w:val="22"/>
          <w:szCs w:val="22"/>
        </w:rPr>
        <w:t>Mr Alan Payne</w:t>
      </w:r>
      <w:r w:rsidR="009A458C" w:rsidRPr="00A4399B">
        <w:rPr>
          <w:rFonts w:ascii="Arial" w:hAnsi="Arial" w:cs="Arial"/>
          <w:sz w:val="22"/>
          <w:szCs w:val="22"/>
        </w:rPr>
        <w:t xml:space="preserve"> QC</w:t>
      </w:r>
      <w:r w:rsidR="00F20B0B" w:rsidRPr="00A4399B">
        <w:rPr>
          <w:rFonts w:ascii="Arial" w:hAnsi="Arial" w:cs="Arial"/>
          <w:sz w:val="22"/>
          <w:szCs w:val="22"/>
        </w:rPr>
        <w:t xml:space="preserve">, junior counsels </w:t>
      </w:r>
      <w:r w:rsidR="006D77B3" w:rsidRPr="00A4399B">
        <w:rPr>
          <w:rFonts w:ascii="Arial" w:hAnsi="Arial" w:cs="Arial"/>
          <w:sz w:val="22"/>
          <w:szCs w:val="22"/>
        </w:rPr>
        <w:t xml:space="preserve">Mr </w:t>
      </w:r>
      <w:r w:rsidR="00F20B0B" w:rsidRPr="00A4399B">
        <w:rPr>
          <w:rFonts w:ascii="Arial" w:hAnsi="Arial" w:cs="Arial"/>
          <w:sz w:val="22"/>
          <w:szCs w:val="22"/>
        </w:rPr>
        <w:t>Ben K</w:t>
      </w:r>
      <w:r w:rsidR="006D77B3" w:rsidRPr="00A4399B">
        <w:rPr>
          <w:rFonts w:ascii="Arial" w:hAnsi="Arial" w:cs="Arial"/>
          <w:sz w:val="22"/>
          <w:szCs w:val="22"/>
        </w:rPr>
        <w:t>eith</w:t>
      </w:r>
      <w:r w:rsidR="00FF4847" w:rsidRPr="00A4399B">
        <w:rPr>
          <w:rFonts w:ascii="Arial" w:hAnsi="Arial" w:cs="Arial"/>
          <w:sz w:val="22"/>
          <w:szCs w:val="22"/>
        </w:rPr>
        <w:t xml:space="preserve"> and</w:t>
      </w:r>
      <w:r w:rsidR="006D77B3" w:rsidRPr="00A4399B">
        <w:rPr>
          <w:rFonts w:ascii="Arial" w:hAnsi="Arial" w:cs="Arial"/>
          <w:sz w:val="22"/>
          <w:szCs w:val="22"/>
        </w:rPr>
        <w:t xml:space="preserve"> Mr Jack Anderson </w:t>
      </w:r>
      <w:r w:rsidR="000003C5" w:rsidRPr="00A4399B">
        <w:rPr>
          <w:rFonts w:ascii="Arial" w:hAnsi="Arial" w:cs="Arial"/>
          <w:sz w:val="22"/>
          <w:szCs w:val="22"/>
        </w:rPr>
        <w:t xml:space="preserve">(the respondent’s legal </w:t>
      </w:r>
      <w:r w:rsidR="00D90796" w:rsidRPr="00A4399B">
        <w:rPr>
          <w:rFonts w:ascii="Arial" w:hAnsi="Arial" w:cs="Arial"/>
          <w:sz w:val="22"/>
          <w:szCs w:val="22"/>
        </w:rPr>
        <w:t xml:space="preserve">team) </w:t>
      </w:r>
      <w:r w:rsidR="00332A57" w:rsidRPr="00A4399B">
        <w:rPr>
          <w:rFonts w:ascii="Arial" w:hAnsi="Arial" w:cs="Arial"/>
          <w:sz w:val="22"/>
          <w:szCs w:val="22"/>
        </w:rPr>
        <w:t>on the instructions of Government Legal Department</w:t>
      </w:r>
      <w:r w:rsidR="00971BDE" w:rsidRPr="00A4399B">
        <w:rPr>
          <w:rFonts w:ascii="Arial" w:hAnsi="Arial" w:cs="Arial"/>
          <w:sz w:val="22"/>
          <w:szCs w:val="22"/>
        </w:rPr>
        <w:t xml:space="preserve">. At the </w:t>
      </w:r>
      <w:r w:rsidR="004F0201" w:rsidRPr="00A4399B">
        <w:rPr>
          <w:rFonts w:ascii="Arial" w:hAnsi="Arial" w:cs="Arial"/>
          <w:sz w:val="22"/>
          <w:szCs w:val="22"/>
        </w:rPr>
        <w:t xml:space="preserve">remote </w:t>
      </w:r>
      <w:r w:rsidR="00BB6938" w:rsidRPr="00A4399B">
        <w:rPr>
          <w:rFonts w:ascii="Arial" w:hAnsi="Arial" w:cs="Arial"/>
          <w:sz w:val="22"/>
          <w:szCs w:val="22"/>
        </w:rPr>
        <w:t xml:space="preserve">oral </w:t>
      </w:r>
      <w:r w:rsidR="00971BDE" w:rsidRPr="00A4399B">
        <w:rPr>
          <w:rFonts w:ascii="Arial" w:hAnsi="Arial" w:cs="Arial"/>
          <w:sz w:val="22"/>
          <w:szCs w:val="22"/>
        </w:rPr>
        <w:t>hearing</w:t>
      </w:r>
      <w:r w:rsidR="00654093" w:rsidRPr="00A4399B">
        <w:rPr>
          <w:rFonts w:ascii="Arial" w:hAnsi="Arial" w:cs="Arial"/>
          <w:sz w:val="22"/>
          <w:szCs w:val="22"/>
        </w:rPr>
        <w:t xml:space="preserve">, </w:t>
      </w:r>
      <w:r w:rsidR="003E37B4" w:rsidRPr="00A4399B">
        <w:rPr>
          <w:rFonts w:ascii="Arial" w:hAnsi="Arial" w:cs="Arial"/>
          <w:sz w:val="22"/>
          <w:szCs w:val="22"/>
        </w:rPr>
        <w:t xml:space="preserve">Mr Cox </w:t>
      </w:r>
      <w:r w:rsidR="00654093" w:rsidRPr="00A4399B">
        <w:rPr>
          <w:rFonts w:ascii="Arial" w:hAnsi="Arial" w:cs="Arial"/>
          <w:sz w:val="22"/>
          <w:szCs w:val="22"/>
        </w:rPr>
        <w:t xml:space="preserve">appeared for the appellant </w:t>
      </w:r>
      <w:r w:rsidR="003E37B4" w:rsidRPr="00A4399B">
        <w:rPr>
          <w:rFonts w:ascii="Arial" w:hAnsi="Arial" w:cs="Arial"/>
          <w:sz w:val="22"/>
          <w:szCs w:val="22"/>
        </w:rPr>
        <w:t>and Ms Idelbi</w:t>
      </w:r>
      <w:r w:rsidR="00F33569" w:rsidRPr="00A4399B">
        <w:rPr>
          <w:rFonts w:ascii="Arial" w:hAnsi="Arial" w:cs="Arial"/>
          <w:sz w:val="22"/>
          <w:szCs w:val="22"/>
        </w:rPr>
        <w:t xml:space="preserve"> appeared for the respondent with their </w:t>
      </w:r>
      <w:r w:rsidR="004F0201" w:rsidRPr="00A4399B">
        <w:rPr>
          <w:rFonts w:ascii="Arial" w:hAnsi="Arial" w:cs="Arial"/>
          <w:sz w:val="22"/>
          <w:szCs w:val="22"/>
        </w:rPr>
        <w:t xml:space="preserve">respective </w:t>
      </w:r>
      <w:r w:rsidR="00F33569" w:rsidRPr="00A4399B">
        <w:rPr>
          <w:rFonts w:ascii="Arial" w:hAnsi="Arial" w:cs="Arial"/>
          <w:sz w:val="22"/>
          <w:szCs w:val="22"/>
        </w:rPr>
        <w:t>instructing solicitor</w:t>
      </w:r>
      <w:r w:rsidR="004F0201" w:rsidRPr="00A4399B">
        <w:rPr>
          <w:rFonts w:ascii="Arial" w:hAnsi="Arial" w:cs="Arial"/>
          <w:sz w:val="22"/>
          <w:szCs w:val="22"/>
        </w:rPr>
        <w:t>s</w:t>
      </w:r>
      <w:r w:rsidR="00BB6938" w:rsidRPr="00A4399B">
        <w:rPr>
          <w:rFonts w:ascii="Arial" w:hAnsi="Arial" w:cs="Arial"/>
          <w:sz w:val="22"/>
          <w:szCs w:val="22"/>
        </w:rPr>
        <w:t>.</w:t>
      </w:r>
    </w:p>
    <w:p w14:paraId="3D6040CA" w14:textId="77777777" w:rsidR="00BB6938" w:rsidRPr="00A4399B" w:rsidRDefault="00BB6938" w:rsidP="00BB6938">
      <w:pPr>
        <w:jc w:val="both"/>
        <w:rPr>
          <w:rFonts w:ascii="Arial" w:hAnsi="Arial" w:cs="Arial"/>
          <w:sz w:val="22"/>
          <w:szCs w:val="22"/>
        </w:rPr>
      </w:pPr>
    </w:p>
    <w:p w14:paraId="4DEEFEBD" w14:textId="5D596199" w:rsidR="00BB6938" w:rsidRPr="00A4399B" w:rsidRDefault="004B192D" w:rsidP="009F7DDF">
      <w:pPr>
        <w:numPr>
          <w:ilvl w:val="0"/>
          <w:numId w:val="3"/>
        </w:numPr>
        <w:tabs>
          <w:tab w:val="clear" w:pos="1004"/>
          <w:tab w:val="left" w:pos="567"/>
        </w:tabs>
        <w:ind w:left="0" w:firstLine="0"/>
        <w:jc w:val="both"/>
        <w:rPr>
          <w:rFonts w:ascii="Arial" w:hAnsi="Arial" w:cs="Arial"/>
          <w:sz w:val="22"/>
          <w:szCs w:val="22"/>
        </w:rPr>
      </w:pPr>
      <w:r w:rsidRPr="00A4399B">
        <w:rPr>
          <w:rFonts w:ascii="Arial" w:hAnsi="Arial" w:cs="Arial"/>
          <w:sz w:val="22"/>
          <w:szCs w:val="22"/>
        </w:rPr>
        <w:t xml:space="preserve">Although </w:t>
      </w:r>
      <w:bookmarkStart w:id="1" w:name="_Hlk70629569"/>
      <w:r w:rsidR="00E85CA8" w:rsidRPr="00A4399B">
        <w:rPr>
          <w:rFonts w:ascii="Arial" w:hAnsi="Arial" w:cs="Arial"/>
          <w:sz w:val="22"/>
          <w:szCs w:val="22"/>
        </w:rPr>
        <w:t>the appellant</w:t>
      </w:r>
      <w:r w:rsidR="00EF5E4E" w:rsidRPr="00A4399B">
        <w:rPr>
          <w:rFonts w:ascii="Arial" w:hAnsi="Arial" w:cs="Arial"/>
          <w:sz w:val="22"/>
          <w:szCs w:val="22"/>
        </w:rPr>
        <w:t xml:space="preserve"> </w:t>
      </w:r>
      <w:bookmarkEnd w:id="1"/>
      <w:r w:rsidR="00BB6938" w:rsidRPr="00A4399B">
        <w:rPr>
          <w:rFonts w:ascii="Arial" w:hAnsi="Arial" w:cs="Arial"/>
          <w:sz w:val="22"/>
          <w:szCs w:val="22"/>
        </w:rPr>
        <w:t xml:space="preserve">was expected to </w:t>
      </w:r>
      <w:r w:rsidRPr="00A4399B">
        <w:rPr>
          <w:rFonts w:ascii="Arial" w:hAnsi="Arial" w:cs="Arial"/>
          <w:sz w:val="22"/>
          <w:szCs w:val="22"/>
        </w:rPr>
        <w:t xml:space="preserve">attend the hearing to </w:t>
      </w:r>
      <w:r w:rsidR="00BB6938" w:rsidRPr="00A4399B">
        <w:rPr>
          <w:rFonts w:ascii="Arial" w:hAnsi="Arial" w:cs="Arial"/>
          <w:sz w:val="22"/>
          <w:szCs w:val="22"/>
        </w:rPr>
        <w:t>give oral evidence</w:t>
      </w:r>
      <w:r w:rsidR="00323924" w:rsidRPr="00A4399B">
        <w:rPr>
          <w:rFonts w:ascii="Arial" w:hAnsi="Arial" w:cs="Arial"/>
          <w:sz w:val="22"/>
          <w:szCs w:val="22"/>
        </w:rPr>
        <w:t>, and an interpreter was booked to assist him</w:t>
      </w:r>
      <w:r w:rsidR="007240E4" w:rsidRPr="00A4399B">
        <w:rPr>
          <w:rFonts w:ascii="Arial" w:hAnsi="Arial" w:cs="Arial"/>
          <w:sz w:val="22"/>
          <w:szCs w:val="22"/>
        </w:rPr>
        <w:t xml:space="preserve"> at his request</w:t>
      </w:r>
      <w:r w:rsidR="00323924" w:rsidRPr="00A4399B">
        <w:rPr>
          <w:rFonts w:ascii="Arial" w:hAnsi="Arial" w:cs="Arial"/>
          <w:sz w:val="22"/>
          <w:szCs w:val="22"/>
        </w:rPr>
        <w:t>, the Tribunal was informed</w:t>
      </w:r>
      <w:r w:rsidR="00801974" w:rsidRPr="00A4399B">
        <w:rPr>
          <w:rFonts w:ascii="Arial" w:hAnsi="Arial" w:cs="Arial"/>
          <w:sz w:val="22"/>
          <w:szCs w:val="22"/>
        </w:rPr>
        <w:t xml:space="preserve"> on 20 April 2021</w:t>
      </w:r>
      <w:r w:rsidR="00E723C3">
        <w:rPr>
          <w:rFonts w:ascii="Arial" w:hAnsi="Arial" w:cs="Arial"/>
          <w:sz w:val="22"/>
          <w:szCs w:val="22"/>
        </w:rPr>
        <w:t>,</w:t>
      </w:r>
      <w:r w:rsidR="00801974" w:rsidRPr="00A4399B">
        <w:rPr>
          <w:rFonts w:ascii="Arial" w:hAnsi="Arial" w:cs="Arial"/>
          <w:sz w:val="22"/>
          <w:szCs w:val="22"/>
        </w:rPr>
        <w:t xml:space="preserve"> that he would not be attending</w:t>
      </w:r>
      <w:r w:rsidRPr="00A4399B">
        <w:rPr>
          <w:rFonts w:ascii="Arial" w:hAnsi="Arial" w:cs="Arial"/>
          <w:sz w:val="22"/>
          <w:szCs w:val="22"/>
        </w:rPr>
        <w:t>.</w:t>
      </w:r>
    </w:p>
    <w:p w14:paraId="0178B53F" w14:textId="77777777" w:rsidR="006B7E84" w:rsidRPr="00A4399B" w:rsidRDefault="006B7E84" w:rsidP="000521E6"/>
    <w:p w14:paraId="0AA02113" w14:textId="77777777" w:rsidR="006B7E84" w:rsidRPr="00A4399B" w:rsidRDefault="006B7E84" w:rsidP="000521E6"/>
    <w:p w14:paraId="24641C85" w14:textId="0ECDDCE6" w:rsidR="00C336F3" w:rsidRPr="00A4399B" w:rsidRDefault="00C336F3" w:rsidP="000521E6">
      <w:pPr>
        <w:rPr>
          <w:rFonts w:ascii="Arial Black" w:hAnsi="Arial Black" w:cs="Arial"/>
          <w:b/>
          <w:smallCaps/>
          <w:sz w:val="22"/>
          <w:szCs w:val="22"/>
        </w:rPr>
      </w:pPr>
      <w:r w:rsidRPr="00A4399B">
        <w:rPr>
          <w:rFonts w:ascii="Arial Black" w:hAnsi="Arial Black" w:cs="Arial"/>
          <w:b/>
          <w:smallCaps/>
          <w:sz w:val="22"/>
          <w:szCs w:val="22"/>
        </w:rPr>
        <w:lastRenderedPageBreak/>
        <w:t>The Decision</w:t>
      </w:r>
      <w:r w:rsidR="00CF5FD1" w:rsidRPr="00A4399B">
        <w:rPr>
          <w:rFonts w:ascii="Arial Black" w:hAnsi="Arial Black" w:cs="Arial"/>
          <w:b/>
          <w:smallCaps/>
          <w:sz w:val="22"/>
          <w:szCs w:val="22"/>
        </w:rPr>
        <w:t xml:space="preserve"> under appeal</w:t>
      </w:r>
    </w:p>
    <w:p w14:paraId="0F9AE22D" w14:textId="77777777" w:rsidR="004A29DD" w:rsidRPr="00A4399B" w:rsidRDefault="004A29DD" w:rsidP="000521E6"/>
    <w:p w14:paraId="289DEF78" w14:textId="54944542" w:rsidR="00474DC7" w:rsidRDefault="003D33CB" w:rsidP="009F7DDF">
      <w:pPr>
        <w:numPr>
          <w:ilvl w:val="0"/>
          <w:numId w:val="3"/>
        </w:numPr>
        <w:tabs>
          <w:tab w:val="num" w:pos="567"/>
        </w:tabs>
        <w:autoSpaceDE w:val="0"/>
        <w:autoSpaceDN w:val="0"/>
        <w:adjustRightInd w:val="0"/>
        <w:ind w:left="0" w:firstLine="0"/>
        <w:jc w:val="both"/>
        <w:rPr>
          <w:rFonts w:ascii="Arial" w:hAnsi="Arial" w:cs="Arial"/>
          <w:sz w:val="22"/>
          <w:szCs w:val="22"/>
        </w:rPr>
      </w:pPr>
      <w:r w:rsidRPr="00A4399B">
        <w:rPr>
          <w:rFonts w:ascii="Arial" w:hAnsi="Arial" w:cs="Arial"/>
          <w:sz w:val="22"/>
          <w:szCs w:val="22"/>
        </w:rPr>
        <w:t xml:space="preserve">The appellant is a </w:t>
      </w:r>
      <w:r w:rsidR="00465952" w:rsidRPr="00A4399B">
        <w:rPr>
          <w:rFonts w:ascii="Arial" w:hAnsi="Arial" w:cs="Arial"/>
          <w:sz w:val="22"/>
          <w:szCs w:val="22"/>
        </w:rPr>
        <w:t xml:space="preserve"> </w:t>
      </w:r>
      <w:r w:rsidRPr="00A4399B">
        <w:rPr>
          <w:rFonts w:ascii="Arial" w:hAnsi="Arial" w:cs="Arial"/>
          <w:sz w:val="22"/>
          <w:szCs w:val="22"/>
        </w:rPr>
        <w:t>year</w:t>
      </w:r>
      <w:r w:rsidR="00637535" w:rsidRPr="00A4399B">
        <w:rPr>
          <w:rFonts w:ascii="Arial" w:hAnsi="Arial" w:cs="Arial"/>
          <w:sz w:val="22"/>
          <w:szCs w:val="22"/>
        </w:rPr>
        <w:t>s</w:t>
      </w:r>
      <w:r w:rsidRPr="00A4399B">
        <w:rPr>
          <w:rFonts w:ascii="Arial" w:hAnsi="Arial" w:cs="Arial"/>
          <w:sz w:val="22"/>
          <w:szCs w:val="22"/>
        </w:rPr>
        <w:t xml:space="preserve">-old </w:t>
      </w:r>
      <w:r w:rsidR="00671E6B" w:rsidRPr="00A4399B">
        <w:rPr>
          <w:rFonts w:ascii="Arial" w:hAnsi="Arial" w:cs="Arial"/>
          <w:sz w:val="22"/>
          <w:szCs w:val="22"/>
        </w:rPr>
        <w:t>n</w:t>
      </w:r>
      <w:r w:rsidRPr="00A4399B">
        <w:rPr>
          <w:rFonts w:ascii="Arial" w:hAnsi="Arial" w:cs="Arial"/>
          <w:sz w:val="22"/>
          <w:szCs w:val="22"/>
        </w:rPr>
        <w:t>ational</w:t>
      </w:r>
      <w:r w:rsidR="00671E6B" w:rsidRPr="00A4399B">
        <w:rPr>
          <w:rFonts w:ascii="Arial" w:hAnsi="Arial" w:cs="Arial"/>
          <w:sz w:val="22"/>
          <w:szCs w:val="22"/>
        </w:rPr>
        <w:t xml:space="preserve"> of Afghanistan</w:t>
      </w:r>
      <w:r w:rsidRPr="00A4399B">
        <w:rPr>
          <w:rFonts w:ascii="Arial" w:hAnsi="Arial" w:cs="Arial"/>
          <w:sz w:val="22"/>
          <w:szCs w:val="22"/>
        </w:rPr>
        <w:t xml:space="preserve">. He appeals against the </w:t>
      </w:r>
      <w:r w:rsidR="00636409" w:rsidRPr="00A4399B">
        <w:rPr>
          <w:rFonts w:ascii="Arial" w:hAnsi="Arial" w:cs="Arial"/>
          <w:sz w:val="22"/>
          <w:szCs w:val="22"/>
        </w:rPr>
        <w:t>respondent</w:t>
      </w:r>
      <w:r w:rsidRPr="00A4399B">
        <w:rPr>
          <w:rFonts w:ascii="Arial" w:hAnsi="Arial" w:cs="Arial"/>
          <w:sz w:val="22"/>
          <w:szCs w:val="22"/>
        </w:rPr>
        <w:t xml:space="preserve">’s decision of </w:t>
      </w:r>
      <w:r w:rsidR="001F3B82" w:rsidRPr="00A4399B">
        <w:rPr>
          <w:rFonts w:ascii="Arial" w:hAnsi="Arial" w:cs="Arial"/>
          <w:sz w:val="22"/>
          <w:szCs w:val="22"/>
        </w:rPr>
        <w:t xml:space="preserve">3 February </w:t>
      </w:r>
      <w:r w:rsidRPr="00A4399B">
        <w:rPr>
          <w:rFonts w:ascii="Arial" w:hAnsi="Arial" w:cs="Arial"/>
          <w:sz w:val="22"/>
          <w:szCs w:val="22"/>
        </w:rPr>
        <w:t>202</w:t>
      </w:r>
      <w:r w:rsidR="00DB585C" w:rsidRPr="00A4399B">
        <w:rPr>
          <w:rFonts w:ascii="Arial" w:hAnsi="Arial" w:cs="Arial"/>
          <w:sz w:val="22"/>
          <w:szCs w:val="22"/>
        </w:rPr>
        <w:t>1</w:t>
      </w:r>
      <w:r w:rsidR="00F40085">
        <w:rPr>
          <w:rFonts w:ascii="Arial" w:hAnsi="Arial" w:cs="Arial"/>
          <w:sz w:val="22"/>
          <w:szCs w:val="22"/>
        </w:rPr>
        <w:t>,</w:t>
      </w:r>
      <w:r w:rsidR="004326F7" w:rsidRPr="00A4399B">
        <w:rPr>
          <w:rFonts w:ascii="Arial" w:hAnsi="Arial" w:cs="Arial"/>
          <w:sz w:val="22"/>
          <w:szCs w:val="22"/>
        </w:rPr>
        <w:t xml:space="preserve"> </w:t>
      </w:r>
      <w:r w:rsidR="00A85069" w:rsidRPr="00A4399B">
        <w:rPr>
          <w:rFonts w:ascii="Arial" w:hAnsi="Arial" w:cs="Arial"/>
          <w:sz w:val="22"/>
          <w:szCs w:val="22"/>
        </w:rPr>
        <w:t>refus</w:t>
      </w:r>
      <w:r w:rsidR="00944DFA" w:rsidRPr="00A4399B">
        <w:rPr>
          <w:rFonts w:ascii="Arial" w:hAnsi="Arial" w:cs="Arial"/>
          <w:sz w:val="22"/>
          <w:szCs w:val="22"/>
        </w:rPr>
        <w:t>ing</w:t>
      </w:r>
      <w:r w:rsidRPr="00A4399B">
        <w:rPr>
          <w:rFonts w:ascii="Arial" w:hAnsi="Arial" w:cs="Arial"/>
          <w:sz w:val="22"/>
          <w:szCs w:val="22"/>
        </w:rPr>
        <w:t xml:space="preserve"> his </w:t>
      </w:r>
      <w:r w:rsidR="00D85C6C" w:rsidRPr="00A4399B">
        <w:rPr>
          <w:rFonts w:ascii="Arial" w:hAnsi="Arial" w:cs="Arial"/>
          <w:sz w:val="22"/>
          <w:szCs w:val="22"/>
        </w:rPr>
        <w:t xml:space="preserve">application for </w:t>
      </w:r>
      <w:r w:rsidR="00944DFA" w:rsidRPr="00A4399B">
        <w:rPr>
          <w:rFonts w:ascii="Arial" w:hAnsi="Arial" w:cs="Arial"/>
          <w:sz w:val="22"/>
          <w:szCs w:val="22"/>
        </w:rPr>
        <w:t xml:space="preserve">asylum </w:t>
      </w:r>
      <w:r w:rsidRPr="00A4399B">
        <w:rPr>
          <w:rFonts w:ascii="Arial" w:hAnsi="Arial" w:cs="Arial"/>
          <w:sz w:val="22"/>
          <w:szCs w:val="22"/>
        </w:rPr>
        <w:t>support</w:t>
      </w:r>
      <w:r w:rsidR="004B5F49" w:rsidRPr="00A4399B">
        <w:rPr>
          <w:rFonts w:ascii="Arial" w:hAnsi="Arial" w:cs="Arial"/>
          <w:sz w:val="22"/>
          <w:szCs w:val="22"/>
        </w:rPr>
        <w:t xml:space="preserve"> </w:t>
      </w:r>
      <w:r w:rsidR="00D85C6C" w:rsidRPr="00A4399B">
        <w:rPr>
          <w:rFonts w:ascii="Arial" w:hAnsi="Arial" w:cs="Arial"/>
          <w:sz w:val="22"/>
          <w:szCs w:val="22"/>
        </w:rPr>
        <w:t>u</w:t>
      </w:r>
      <w:r w:rsidR="00FE6C57" w:rsidRPr="00A4399B">
        <w:rPr>
          <w:rFonts w:ascii="Arial" w:hAnsi="Arial" w:cs="Arial"/>
          <w:sz w:val="22"/>
          <w:szCs w:val="22"/>
        </w:rPr>
        <w:t>n</w:t>
      </w:r>
      <w:r w:rsidR="00D85C6C" w:rsidRPr="00A4399B">
        <w:rPr>
          <w:rFonts w:ascii="Arial" w:hAnsi="Arial" w:cs="Arial"/>
          <w:sz w:val="22"/>
          <w:szCs w:val="22"/>
        </w:rPr>
        <w:t>der section 4(2) of the Immigration and Asylum Act 1999</w:t>
      </w:r>
      <w:r w:rsidR="0076199C" w:rsidRPr="00A4399B">
        <w:rPr>
          <w:rFonts w:ascii="Arial" w:hAnsi="Arial" w:cs="Arial"/>
          <w:sz w:val="22"/>
          <w:szCs w:val="22"/>
        </w:rPr>
        <w:t xml:space="preserve"> (the 1999 Act)</w:t>
      </w:r>
      <w:r w:rsidR="008C62A6">
        <w:rPr>
          <w:rFonts w:ascii="Arial" w:hAnsi="Arial" w:cs="Arial"/>
          <w:sz w:val="22"/>
          <w:szCs w:val="22"/>
        </w:rPr>
        <w:t>,</w:t>
      </w:r>
      <w:r w:rsidRPr="00A4399B">
        <w:rPr>
          <w:rFonts w:ascii="Arial" w:hAnsi="Arial" w:cs="Arial"/>
          <w:sz w:val="22"/>
          <w:szCs w:val="22"/>
        </w:rPr>
        <w:t xml:space="preserve"> </w:t>
      </w:r>
      <w:r w:rsidR="00FE6C57" w:rsidRPr="00A4399B">
        <w:rPr>
          <w:rFonts w:ascii="Arial" w:hAnsi="Arial" w:cs="Arial"/>
          <w:sz w:val="22"/>
          <w:szCs w:val="22"/>
        </w:rPr>
        <w:t>on the grounds that he</w:t>
      </w:r>
      <w:r w:rsidR="005D73B0" w:rsidRPr="00A4399B">
        <w:rPr>
          <w:rFonts w:ascii="Arial" w:hAnsi="Arial" w:cs="Arial"/>
          <w:sz w:val="22"/>
          <w:szCs w:val="22"/>
        </w:rPr>
        <w:t xml:space="preserve"> </w:t>
      </w:r>
      <w:r w:rsidR="002D17CA" w:rsidRPr="00A4399B">
        <w:rPr>
          <w:rFonts w:ascii="Arial" w:hAnsi="Arial" w:cs="Arial"/>
          <w:sz w:val="22"/>
          <w:szCs w:val="22"/>
        </w:rPr>
        <w:t>is not destitute and</w:t>
      </w:r>
      <w:r w:rsidR="008236B2" w:rsidRPr="00A4399B">
        <w:rPr>
          <w:rFonts w:ascii="Arial" w:hAnsi="Arial" w:cs="Arial"/>
          <w:sz w:val="22"/>
          <w:szCs w:val="22"/>
        </w:rPr>
        <w:t xml:space="preserve"> fails to meet </w:t>
      </w:r>
      <w:r w:rsidR="00480AE2" w:rsidRPr="00A4399B">
        <w:rPr>
          <w:rFonts w:ascii="Arial" w:hAnsi="Arial" w:cs="Arial"/>
          <w:sz w:val="22"/>
          <w:szCs w:val="22"/>
        </w:rPr>
        <w:t xml:space="preserve">any of </w:t>
      </w:r>
      <w:r w:rsidR="008236B2" w:rsidRPr="00A4399B">
        <w:rPr>
          <w:rFonts w:ascii="Arial" w:hAnsi="Arial" w:cs="Arial"/>
          <w:sz w:val="22"/>
          <w:szCs w:val="22"/>
        </w:rPr>
        <w:t xml:space="preserve">the criteria set out in </w:t>
      </w:r>
      <w:r w:rsidR="008C62A6">
        <w:rPr>
          <w:rFonts w:ascii="Arial" w:hAnsi="Arial" w:cs="Arial"/>
          <w:sz w:val="22"/>
          <w:szCs w:val="22"/>
        </w:rPr>
        <w:t>r</w:t>
      </w:r>
      <w:r w:rsidR="008236B2" w:rsidRPr="00A4399B">
        <w:rPr>
          <w:rFonts w:ascii="Arial" w:hAnsi="Arial" w:cs="Arial"/>
          <w:sz w:val="22"/>
          <w:szCs w:val="22"/>
        </w:rPr>
        <w:t>egulation 3 of the Immigration and Asylum (Provision of Accommodation to Failed As</w:t>
      </w:r>
      <w:r w:rsidR="00F955FF" w:rsidRPr="00A4399B">
        <w:rPr>
          <w:rFonts w:ascii="Arial" w:hAnsi="Arial" w:cs="Arial"/>
          <w:sz w:val="22"/>
          <w:szCs w:val="22"/>
        </w:rPr>
        <w:t>ylum Seekers) Regulations 2005 (the 2005 Regulations)</w:t>
      </w:r>
      <w:r w:rsidR="00606222" w:rsidRPr="00A4399B">
        <w:rPr>
          <w:rFonts w:ascii="Arial" w:hAnsi="Arial" w:cs="Arial"/>
          <w:sz w:val="22"/>
          <w:szCs w:val="22"/>
        </w:rPr>
        <w:t>.</w:t>
      </w:r>
    </w:p>
    <w:p w14:paraId="56C1833D" w14:textId="77777777" w:rsidR="00474DC7" w:rsidRDefault="00474DC7" w:rsidP="00474DC7">
      <w:pPr>
        <w:tabs>
          <w:tab w:val="num" w:pos="1004"/>
        </w:tabs>
        <w:autoSpaceDE w:val="0"/>
        <w:autoSpaceDN w:val="0"/>
        <w:adjustRightInd w:val="0"/>
        <w:jc w:val="both"/>
        <w:rPr>
          <w:rFonts w:ascii="Arial" w:hAnsi="Arial" w:cs="Arial"/>
          <w:sz w:val="22"/>
          <w:szCs w:val="22"/>
        </w:rPr>
      </w:pPr>
    </w:p>
    <w:p w14:paraId="6E32FF6F" w14:textId="4DF8A43C" w:rsidR="003D33CB" w:rsidRPr="00A4399B" w:rsidRDefault="00606222" w:rsidP="00474DC7">
      <w:pPr>
        <w:tabs>
          <w:tab w:val="num" w:pos="1004"/>
        </w:tabs>
        <w:autoSpaceDE w:val="0"/>
        <w:autoSpaceDN w:val="0"/>
        <w:adjustRightInd w:val="0"/>
        <w:jc w:val="both"/>
        <w:rPr>
          <w:rFonts w:ascii="Arial" w:hAnsi="Arial" w:cs="Arial"/>
          <w:sz w:val="22"/>
          <w:szCs w:val="22"/>
        </w:rPr>
      </w:pPr>
      <w:r w:rsidRPr="00A4399B">
        <w:rPr>
          <w:rFonts w:ascii="Arial" w:hAnsi="Arial" w:cs="Arial"/>
          <w:sz w:val="22"/>
          <w:szCs w:val="22"/>
        </w:rPr>
        <w:t xml:space="preserve"> </w:t>
      </w:r>
    </w:p>
    <w:p w14:paraId="209F75BB" w14:textId="0A0684F7" w:rsidR="00BF675B" w:rsidRPr="00A4399B" w:rsidRDefault="00BF675B" w:rsidP="00BF675B">
      <w:pPr>
        <w:tabs>
          <w:tab w:val="num" w:pos="0"/>
          <w:tab w:val="num" w:pos="567"/>
        </w:tabs>
        <w:jc w:val="both"/>
        <w:rPr>
          <w:rFonts w:ascii="Arial Black" w:hAnsi="Arial Black" w:cs="Arial"/>
          <w:b/>
          <w:smallCaps/>
          <w:sz w:val="22"/>
          <w:szCs w:val="22"/>
        </w:rPr>
      </w:pPr>
      <w:r w:rsidRPr="00A4399B">
        <w:rPr>
          <w:rFonts w:ascii="Arial Black" w:hAnsi="Arial Black" w:cs="Arial"/>
          <w:b/>
          <w:smallCaps/>
          <w:sz w:val="22"/>
          <w:szCs w:val="22"/>
        </w:rPr>
        <w:t>Grounds of Appeal</w:t>
      </w:r>
    </w:p>
    <w:p w14:paraId="7E0F1412" w14:textId="77777777" w:rsidR="00BF675B" w:rsidRPr="00A4399B" w:rsidRDefault="00BF675B" w:rsidP="00BF675B">
      <w:pPr>
        <w:tabs>
          <w:tab w:val="num" w:pos="720"/>
        </w:tabs>
        <w:autoSpaceDE w:val="0"/>
        <w:autoSpaceDN w:val="0"/>
        <w:adjustRightInd w:val="0"/>
        <w:jc w:val="both"/>
        <w:rPr>
          <w:rFonts w:ascii="Arial" w:hAnsi="Arial" w:cs="Arial"/>
          <w:sz w:val="22"/>
          <w:szCs w:val="22"/>
        </w:rPr>
      </w:pPr>
    </w:p>
    <w:p w14:paraId="2D17A214" w14:textId="18C49E72" w:rsidR="00BF675B" w:rsidRPr="00A4399B" w:rsidRDefault="00757594" w:rsidP="009F7DDF">
      <w:pPr>
        <w:numPr>
          <w:ilvl w:val="0"/>
          <w:numId w:val="3"/>
        </w:numPr>
        <w:tabs>
          <w:tab w:val="num" w:pos="567"/>
        </w:tabs>
        <w:autoSpaceDE w:val="0"/>
        <w:autoSpaceDN w:val="0"/>
        <w:adjustRightInd w:val="0"/>
        <w:ind w:left="0" w:firstLine="0"/>
        <w:jc w:val="both"/>
        <w:rPr>
          <w:rFonts w:ascii="Arial" w:hAnsi="Arial" w:cs="Arial"/>
          <w:sz w:val="22"/>
          <w:szCs w:val="22"/>
        </w:rPr>
      </w:pPr>
      <w:r w:rsidRPr="00A4399B">
        <w:rPr>
          <w:rFonts w:ascii="Arial" w:hAnsi="Arial" w:cs="Arial"/>
          <w:sz w:val="22"/>
          <w:szCs w:val="22"/>
        </w:rPr>
        <w:t xml:space="preserve">On 22 </w:t>
      </w:r>
      <w:r w:rsidR="00377065" w:rsidRPr="00A4399B">
        <w:rPr>
          <w:rFonts w:ascii="Arial" w:hAnsi="Arial" w:cs="Arial"/>
          <w:sz w:val="22"/>
          <w:szCs w:val="22"/>
        </w:rPr>
        <w:t>February 202</w:t>
      </w:r>
      <w:r w:rsidR="00DB585C" w:rsidRPr="00A4399B">
        <w:rPr>
          <w:rFonts w:ascii="Arial" w:hAnsi="Arial" w:cs="Arial"/>
          <w:sz w:val="22"/>
          <w:szCs w:val="22"/>
        </w:rPr>
        <w:t>1</w:t>
      </w:r>
      <w:r w:rsidR="00377065" w:rsidRPr="00A4399B">
        <w:rPr>
          <w:rFonts w:ascii="Arial" w:hAnsi="Arial" w:cs="Arial"/>
          <w:sz w:val="22"/>
          <w:szCs w:val="22"/>
        </w:rPr>
        <w:t xml:space="preserve">, </w:t>
      </w:r>
      <w:r w:rsidR="006C6242" w:rsidRPr="00A4399B">
        <w:rPr>
          <w:rFonts w:ascii="Arial" w:hAnsi="Arial" w:cs="Arial"/>
          <w:sz w:val="22"/>
          <w:szCs w:val="22"/>
        </w:rPr>
        <w:t xml:space="preserve">the appellant </w:t>
      </w:r>
      <w:r w:rsidR="00C30536" w:rsidRPr="00A4399B">
        <w:rPr>
          <w:rFonts w:ascii="Arial" w:hAnsi="Arial" w:cs="Arial"/>
          <w:sz w:val="22"/>
          <w:szCs w:val="22"/>
        </w:rPr>
        <w:t>appealed</w:t>
      </w:r>
      <w:r w:rsidRPr="00A4399B">
        <w:rPr>
          <w:rFonts w:ascii="Arial" w:hAnsi="Arial" w:cs="Arial"/>
          <w:sz w:val="22"/>
          <w:szCs w:val="22"/>
        </w:rPr>
        <w:t xml:space="preserve"> </w:t>
      </w:r>
      <w:r w:rsidR="00F0760A" w:rsidRPr="00A4399B">
        <w:rPr>
          <w:rFonts w:ascii="Arial" w:hAnsi="Arial" w:cs="Arial"/>
          <w:sz w:val="22"/>
          <w:szCs w:val="22"/>
        </w:rPr>
        <w:t xml:space="preserve">the decision </w:t>
      </w:r>
      <w:r w:rsidRPr="00A4399B">
        <w:rPr>
          <w:rFonts w:ascii="Arial" w:hAnsi="Arial" w:cs="Arial"/>
          <w:sz w:val="22"/>
          <w:szCs w:val="22"/>
        </w:rPr>
        <w:t>to refuse him asylum support</w:t>
      </w:r>
      <w:r w:rsidR="002B379C" w:rsidRPr="00A4399B">
        <w:rPr>
          <w:rFonts w:ascii="Arial" w:hAnsi="Arial" w:cs="Arial"/>
          <w:sz w:val="22"/>
          <w:szCs w:val="22"/>
        </w:rPr>
        <w:t xml:space="preserve">. His appeal was out of time but </w:t>
      </w:r>
      <w:r w:rsidR="00EC4508" w:rsidRPr="00A4399B">
        <w:rPr>
          <w:rFonts w:ascii="Arial" w:hAnsi="Arial" w:cs="Arial"/>
          <w:sz w:val="22"/>
          <w:szCs w:val="22"/>
        </w:rPr>
        <w:t xml:space="preserve">subsequently </w:t>
      </w:r>
      <w:r w:rsidR="002B379C" w:rsidRPr="00A4399B">
        <w:rPr>
          <w:rFonts w:ascii="Arial" w:hAnsi="Arial" w:cs="Arial"/>
          <w:sz w:val="22"/>
          <w:szCs w:val="22"/>
        </w:rPr>
        <w:t>admitted</w:t>
      </w:r>
      <w:r w:rsidR="004B1A65" w:rsidRPr="00A4399B">
        <w:rPr>
          <w:rFonts w:ascii="Arial" w:hAnsi="Arial" w:cs="Arial"/>
          <w:sz w:val="22"/>
          <w:szCs w:val="22"/>
        </w:rPr>
        <w:t xml:space="preserve"> in the interests of justice</w:t>
      </w:r>
      <w:r w:rsidR="009E04DB" w:rsidRPr="00A4399B">
        <w:rPr>
          <w:rFonts w:ascii="Arial" w:hAnsi="Arial" w:cs="Arial"/>
          <w:sz w:val="22"/>
          <w:szCs w:val="22"/>
        </w:rPr>
        <w:t>. The grounds of appeal</w:t>
      </w:r>
      <w:r w:rsidR="00DF70B3" w:rsidRPr="00A4399B">
        <w:rPr>
          <w:rFonts w:ascii="Arial" w:hAnsi="Arial" w:cs="Arial"/>
          <w:sz w:val="22"/>
          <w:szCs w:val="22"/>
        </w:rPr>
        <w:t xml:space="preserve"> stated that</w:t>
      </w:r>
      <w:r w:rsidR="00A90DF7" w:rsidRPr="00A4399B">
        <w:rPr>
          <w:rFonts w:ascii="Arial" w:hAnsi="Arial" w:cs="Arial"/>
          <w:sz w:val="22"/>
          <w:szCs w:val="22"/>
        </w:rPr>
        <w:t>:</w:t>
      </w:r>
      <w:r w:rsidR="00DF70B3" w:rsidRPr="00A4399B">
        <w:rPr>
          <w:rFonts w:ascii="Arial" w:hAnsi="Arial" w:cs="Arial"/>
          <w:sz w:val="22"/>
          <w:szCs w:val="22"/>
        </w:rPr>
        <w:t xml:space="preserve"> </w:t>
      </w:r>
    </w:p>
    <w:p w14:paraId="7D82598F" w14:textId="77777777" w:rsidR="00813F9A" w:rsidRPr="00A4399B" w:rsidRDefault="00813F9A" w:rsidP="00813F9A">
      <w:pPr>
        <w:tabs>
          <w:tab w:val="num" w:pos="567"/>
        </w:tabs>
        <w:autoSpaceDE w:val="0"/>
        <w:autoSpaceDN w:val="0"/>
        <w:adjustRightInd w:val="0"/>
        <w:jc w:val="both"/>
        <w:rPr>
          <w:rFonts w:ascii="Arial" w:hAnsi="Arial" w:cs="Arial"/>
          <w:sz w:val="22"/>
          <w:szCs w:val="22"/>
        </w:rPr>
      </w:pPr>
    </w:p>
    <w:p w14:paraId="79600035" w14:textId="649E7629" w:rsidR="00BB4B20" w:rsidRPr="00A4399B" w:rsidRDefault="003D33CB" w:rsidP="009F7DDF">
      <w:pPr>
        <w:tabs>
          <w:tab w:val="left" w:pos="1120"/>
        </w:tabs>
        <w:autoSpaceDE w:val="0"/>
        <w:autoSpaceDN w:val="0"/>
        <w:adjustRightInd w:val="0"/>
        <w:ind w:left="567" w:right="425"/>
        <w:jc w:val="both"/>
        <w:rPr>
          <w:rFonts w:ascii="Arial" w:hAnsi="Arial" w:cs="Arial"/>
          <w:sz w:val="22"/>
          <w:szCs w:val="22"/>
        </w:rPr>
      </w:pPr>
      <w:r w:rsidRPr="00A4399B">
        <w:rPr>
          <w:rFonts w:ascii="Arial" w:hAnsi="Arial" w:cs="Arial"/>
          <w:sz w:val="22"/>
          <w:szCs w:val="22"/>
        </w:rPr>
        <w:t xml:space="preserve">a) </w:t>
      </w:r>
      <w:r w:rsidRPr="00A4399B">
        <w:rPr>
          <w:rFonts w:ascii="Arial" w:hAnsi="Arial" w:cs="Arial"/>
          <w:sz w:val="22"/>
          <w:szCs w:val="22"/>
        </w:rPr>
        <w:tab/>
      </w:r>
      <w:bookmarkStart w:id="2" w:name="_Hlk54294059"/>
      <w:r w:rsidR="006C6242" w:rsidRPr="00A4399B">
        <w:rPr>
          <w:rFonts w:ascii="Arial" w:hAnsi="Arial" w:cs="Arial"/>
          <w:sz w:val="22"/>
          <w:szCs w:val="22"/>
        </w:rPr>
        <w:t xml:space="preserve">the appellant </w:t>
      </w:r>
      <w:r w:rsidR="002D17CA" w:rsidRPr="00A4399B">
        <w:rPr>
          <w:rFonts w:ascii="Arial" w:hAnsi="Arial" w:cs="Arial"/>
          <w:sz w:val="22"/>
          <w:szCs w:val="22"/>
        </w:rPr>
        <w:t>is destitute</w:t>
      </w:r>
      <w:r w:rsidR="00BB4B20" w:rsidRPr="00A4399B">
        <w:rPr>
          <w:rFonts w:ascii="Arial" w:hAnsi="Arial" w:cs="Arial"/>
          <w:sz w:val="22"/>
          <w:szCs w:val="22"/>
        </w:rPr>
        <w:t xml:space="preserve">; </w:t>
      </w:r>
    </w:p>
    <w:p w14:paraId="56F9E759" w14:textId="27FD158D" w:rsidR="006F2D70" w:rsidRPr="00A4399B" w:rsidRDefault="00BB4B20" w:rsidP="009F7DDF">
      <w:pPr>
        <w:tabs>
          <w:tab w:val="left" w:pos="1134"/>
        </w:tabs>
        <w:autoSpaceDE w:val="0"/>
        <w:autoSpaceDN w:val="0"/>
        <w:adjustRightInd w:val="0"/>
        <w:ind w:left="1134" w:right="425" w:hanging="567"/>
        <w:jc w:val="both"/>
        <w:rPr>
          <w:rFonts w:ascii="Arial" w:hAnsi="Arial" w:cs="Arial"/>
          <w:sz w:val="22"/>
          <w:szCs w:val="22"/>
        </w:rPr>
      </w:pPr>
      <w:r w:rsidRPr="00A4399B">
        <w:rPr>
          <w:rFonts w:ascii="Arial" w:hAnsi="Arial" w:cs="Arial"/>
          <w:sz w:val="22"/>
          <w:szCs w:val="22"/>
        </w:rPr>
        <w:t xml:space="preserve">b) </w:t>
      </w:r>
      <w:r w:rsidR="006307CD" w:rsidRPr="00A4399B">
        <w:rPr>
          <w:rFonts w:ascii="Arial" w:hAnsi="Arial" w:cs="Arial"/>
          <w:sz w:val="22"/>
          <w:szCs w:val="22"/>
        </w:rPr>
        <w:tab/>
      </w:r>
      <w:r w:rsidR="00641957" w:rsidRPr="00A4399B">
        <w:rPr>
          <w:rFonts w:ascii="Arial" w:hAnsi="Arial" w:cs="Arial"/>
          <w:sz w:val="22"/>
          <w:szCs w:val="22"/>
        </w:rPr>
        <w:t>i</w:t>
      </w:r>
      <w:r w:rsidR="00242F10" w:rsidRPr="00A4399B">
        <w:rPr>
          <w:rFonts w:ascii="Arial" w:hAnsi="Arial" w:cs="Arial"/>
          <w:sz w:val="22"/>
          <w:szCs w:val="22"/>
        </w:rPr>
        <w:t>t is necessary to accommodate him during a nationwide lockdown</w:t>
      </w:r>
      <w:r w:rsidR="00DB5201" w:rsidRPr="00A4399B">
        <w:rPr>
          <w:rFonts w:ascii="Arial" w:hAnsi="Arial" w:cs="Arial"/>
          <w:sz w:val="22"/>
          <w:szCs w:val="22"/>
        </w:rPr>
        <w:t xml:space="preserve"> on public health grounds</w:t>
      </w:r>
      <w:r w:rsidR="00331F5C" w:rsidRPr="00A4399B">
        <w:rPr>
          <w:rFonts w:ascii="Arial" w:hAnsi="Arial" w:cs="Arial"/>
          <w:sz w:val="22"/>
          <w:szCs w:val="22"/>
        </w:rPr>
        <w:t>;</w:t>
      </w:r>
    </w:p>
    <w:p w14:paraId="17AEAB68" w14:textId="42B2380C" w:rsidR="00451017" w:rsidRPr="00A4399B" w:rsidRDefault="006F2D70" w:rsidP="009F7DDF">
      <w:pPr>
        <w:autoSpaceDE w:val="0"/>
        <w:autoSpaceDN w:val="0"/>
        <w:adjustRightInd w:val="0"/>
        <w:ind w:left="1134" w:right="425" w:hanging="567"/>
        <w:jc w:val="both"/>
        <w:rPr>
          <w:rFonts w:ascii="Arial" w:hAnsi="Arial" w:cs="Arial"/>
          <w:sz w:val="22"/>
          <w:szCs w:val="22"/>
        </w:rPr>
      </w:pPr>
      <w:r w:rsidRPr="00A4399B">
        <w:rPr>
          <w:rFonts w:ascii="Arial" w:hAnsi="Arial" w:cs="Arial"/>
          <w:sz w:val="22"/>
          <w:szCs w:val="22"/>
        </w:rPr>
        <w:t>c)</w:t>
      </w:r>
      <w:r w:rsidR="009F7DDF">
        <w:rPr>
          <w:rFonts w:ascii="Arial" w:hAnsi="Arial" w:cs="Arial"/>
          <w:sz w:val="22"/>
          <w:szCs w:val="22"/>
        </w:rPr>
        <w:tab/>
      </w:r>
      <w:r w:rsidR="00641957" w:rsidRPr="00A4399B">
        <w:rPr>
          <w:rFonts w:ascii="Arial" w:hAnsi="Arial" w:cs="Arial"/>
          <w:sz w:val="22"/>
          <w:szCs w:val="22"/>
        </w:rPr>
        <w:t>r</w:t>
      </w:r>
      <w:r w:rsidR="00755A92" w:rsidRPr="00A4399B">
        <w:rPr>
          <w:rFonts w:ascii="Arial" w:hAnsi="Arial" w:cs="Arial"/>
          <w:sz w:val="22"/>
          <w:szCs w:val="22"/>
        </w:rPr>
        <w:t>ely</w:t>
      </w:r>
      <w:r w:rsidR="00277C72" w:rsidRPr="00A4399B">
        <w:rPr>
          <w:rFonts w:ascii="Arial" w:hAnsi="Arial" w:cs="Arial"/>
          <w:sz w:val="22"/>
          <w:szCs w:val="22"/>
        </w:rPr>
        <w:t>ing</w:t>
      </w:r>
      <w:r w:rsidR="00755A92" w:rsidRPr="00A4399B">
        <w:rPr>
          <w:rFonts w:ascii="Arial" w:hAnsi="Arial" w:cs="Arial"/>
          <w:sz w:val="22"/>
          <w:szCs w:val="22"/>
        </w:rPr>
        <w:t xml:space="preserve"> upon the </w:t>
      </w:r>
      <w:r w:rsidR="006B4E20" w:rsidRPr="00A4399B">
        <w:rPr>
          <w:rFonts w:ascii="Arial" w:hAnsi="Arial" w:cs="Arial"/>
          <w:sz w:val="22"/>
          <w:szCs w:val="22"/>
        </w:rPr>
        <w:t>judgment</w:t>
      </w:r>
      <w:r w:rsidR="00DF4450" w:rsidRPr="00A4399B">
        <w:rPr>
          <w:rFonts w:ascii="Arial" w:hAnsi="Arial" w:cs="Arial"/>
          <w:sz w:val="22"/>
          <w:szCs w:val="22"/>
        </w:rPr>
        <w:t>s</w:t>
      </w:r>
      <w:r w:rsidR="006B4E20" w:rsidRPr="00A4399B">
        <w:rPr>
          <w:rFonts w:ascii="Arial" w:hAnsi="Arial" w:cs="Arial"/>
          <w:sz w:val="22"/>
          <w:szCs w:val="22"/>
        </w:rPr>
        <w:t xml:space="preserve"> of this Tribunal in </w:t>
      </w:r>
      <w:r w:rsidR="00E16A12" w:rsidRPr="00A4399B">
        <w:rPr>
          <w:rFonts w:ascii="Arial" w:hAnsi="Arial" w:cs="Arial"/>
          <w:i/>
          <w:sz w:val="22"/>
          <w:szCs w:val="22"/>
          <w:lang w:val="en-US"/>
        </w:rPr>
        <w:t>PA and MA</w:t>
      </w:r>
      <w:r w:rsidR="00E16A12" w:rsidRPr="00A4399B">
        <w:rPr>
          <w:rFonts w:ascii="Arial" w:hAnsi="Arial" w:cs="Arial"/>
          <w:sz w:val="22"/>
          <w:szCs w:val="22"/>
          <w:lang w:val="en-US"/>
        </w:rPr>
        <w:t xml:space="preserve"> </w:t>
      </w:r>
      <w:r w:rsidR="00DF4450" w:rsidRPr="00A4399B">
        <w:rPr>
          <w:rFonts w:ascii="Arial" w:hAnsi="Arial" w:cs="Arial"/>
          <w:sz w:val="22"/>
          <w:szCs w:val="22"/>
          <w:lang w:val="en-US"/>
        </w:rPr>
        <w:t xml:space="preserve">- </w:t>
      </w:r>
      <w:r w:rsidR="00E16A12" w:rsidRPr="00A4399B">
        <w:rPr>
          <w:rFonts w:ascii="Arial" w:hAnsi="Arial" w:cs="Arial"/>
          <w:i/>
          <w:sz w:val="22"/>
          <w:szCs w:val="22"/>
          <w:lang w:val="en-US"/>
        </w:rPr>
        <w:t>AS/20/09/42386 &amp; AS/20/09/42397</w:t>
      </w:r>
      <w:r w:rsidR="00DF4450" w:rsidRPr="00A4399B">
        <w:rPr>
          <w:rFonts w:ascii="Arial" w:hAnsi="Arial" w:cs="Arial"/>
          <w:i/>
          <w:sz w:val="22"/>
          <w:szCs w:val="22"/>
          <w:lang w:val="en-US"/>
        </w:rPr>
        <w:t xml:space="preserve"> (PA and MA</w:t>
      </w:r>
      <w:r w:rsidR="00E16A12" w:rsidRPr="00A4399B">
        <w:rPr>
          <w:rFonts w:ascii="Arial" w:hAnsi="Arial" w:cs="Arial"/>
          <w:i/>
          <w:sz w:val="22"/>
          <w:szCs w:val="22"/>
          <w:lang w:val="en-US"/>
        </w:rPr>
        <w:t>)</w:t>
      </w:r>
      <w:r w:rsidR="006B4E20" w:rsidRPr="00A4399B">
        <w:rPr>
          <w:rFonts w:ascii="Arial" w:hAnsi="Arial" w:cs="Arial"/>
          <w:sz w:val="22"/>
          <w:szCs w:val="22"/>
        </w:rPr>
        <w:t xml:space="preserve">, </w:t>
      </w:r>
      <w:r w:rsidR="001A049C" w:rsidRPr="00A4399B">
        <w:rPr>
          <w:rFonts w:ascii="Arial" w:hAnsi="Arial" w:cs="Arial"/>
          <w:sz w:val="22"/>
          <w:szCs w:val="22"/>
        </w:rPr>
        <w:t xml:space="preserve">the provision of </w:t>
      </w:r>
      <w:r w:rsidR="006B4E20" w:rsidRPr="00A4399B">
        <w:rPr>
          <w:rFonts w:ascii="Arial" w:hAnsi="Arial" w:cs="Arial"/>
          <w:sz w:val="22"/>
          <w:szCs w:val="22"/>
        </w:rPr>
        <w:t>s</w:t>
      </w:r>
      <w:r w:rsidR="006307CD" w:rsidRPr="00A4399B">
        <w:rPr>
          <w:rFonts w:ascii="Arial" w:hAnsi="Arial" w:cs="Arial"/>
          <w:sz w:val="22"/>
          <w:szCs w:val="22"/>
        </w:rPr>
        <w:t xml:space="preserve">upport is necessary </w:t>
      </w:r>
      <w:r w:rsidR="001A049C" w:rsidRPr="00A4399B">
        <w:rPr>
          <w:rFonts w:ascii="Arial" w:hAnsi="Arial" w:cs="Arial"/>
          <w:sz w:val="22"/>
          <w:szCs w:val="22"/>
        </w:rPr>
        <w:t xml:space="preserve">to avoid a breach of </w:t>
      </w:r>
      <w:r w:rsidR="00277C72" w:rsidRPr="00A4399B">
        <w:rPr>
          <w:rFonts w:ascii="Arial" w:hAnsi="Arial" w:cs="Arial"/>
          <w:sz w:val="22"/>
          <w:szCs w:val="22"/>
        </w:rPr>
        <w:t xml:space="preserve">a person’s Conventions rights </w:t>
      </w:r>
      <w:r w:rsidR="00A242B9" w:rsidRPr="00A4399B">
        <w:rPr>
          <w:rFonts w:ascii="Arial" w:hAnsi="Arial" w:cs="Arial"/>
          <w:sz w:val="22"/>
          <w:szCs w:val="22"/>
        </w:rPr>
        <w:t xml:space="preserve">under </w:t>
      </w:r>
      <w:r w:rsidR="003D33CB" w:rsidRPr="00A4399B">
        <w:rPr>
          <w:rFonts w:ascii="Arial" w:hAnsi="Arial" w:cs="Arial"/>
          <w:sz w:val="22"/>
          <w:szCs w:val="22"/>
        </w:rPr>
        <w:t xml:space="preserve">paragraph 3(2)(e) </w:t>
      </w:r>
      <w:bookmarkEnd w:id="2"/>
      <w:r w:rsidR="003D33CB" w:rsidRPr="00A4399B">
        <w:rPr>
          <w:rFonts w:ascii="Arial" w:hAnsi="Arial" w:cs="Arial"/>
          <w:sz w:val="22"/>
          <w:szCs w:val="22"/>
        </w:rPr>
        <w:t>of the 2005 Regulations;</w:t>
      </w:r>
    </w:p>
    <w:p w14:paraId="1D39D010" w14:textId="12ECFBBC" w:rsidR="0013082F" w:rsidRPr="00A4399B" w:rsidRDefault="00451017" w:rsidP="009F7DDF">
      <w:pPr>
        <w:autoSpaceDE w:val="0"/>
        <w:autoSpaceDN w:val="0"/>
        <w:adjustRightInd w:val="0"/>
        <w:ind w:left="1134" w:right="425" w:hanging="567"/>
        <w:jc w:val="both"/>
        <w:rPr>
          <w:rFonts w:ascii="Arial" w:hAnsi="Arial" w:cs="Arial"/>
          <w:sz w:val="22"/>
          <w:szCs w:val="22"/>
        </w:rPr>
      </w:pPr>
      <w:r w:rsidRPr="00A4399B">
        <w:rPr>
          <w:rFonts w:ascii="Arial" w:hAnsi="Arial" w:cs="Arial"/>
          <w:sz w:val="22"/>
          <w:szCs w:val="22"/>
        </w:rPr>
        <w:t xml:space="preserve">d)  </w:t>
      </w:r>
      <w:r w:rsidR="009F7DDF">
        <w:rPr>
          <w:rFonts w:ascii="Arial" w:hAnsi="Arial" w:cs="Arial"/>
          <w:sz w:val="22"/>
          <w:szCs w:val="22"/>
        </w:rPr>
        <w:tab/>
      </w:r>
      <w:r w:rsidR="00641957" w:rsidRPr="00A4399B">
        <w:rPr>
          <w:rFonts w:ascii="Arial" w:hAnsi="Arial" w:cs="Arial"/>
          <w:sz w:val="22"/>
          <w:szCs w:val="22"/>
        </w:rPr>
        <w:t>t</w:t>
      </w:r>
      <w:r w:rsidR="00331F5C" w:rsidRPr="00A4399B">
        <w:rPr>
          <w:rFonts w:ascii="Arial" w:hAnsi="Arial" w:cs="Arial"/>
          <w:sz w:val="22"/>
          <w:szCs w:val="22"/>
        </w:rPr>
        <w:t>he</w:t>
      </w:r>
      <w:r w:rsidRPr="00A4399B">
        <w:rPr>
          <w:rFonts w:ascii="Arial" w:hAnsi="Arial" w:cs="Arial"/>
          <w:sz w:val="22"/>
          <w:szCs w:val="22"/>
        </w:rPr>
        <w:t xml:space="preserve"> appeal was </w:t>
      </w:r>
      <w:r w:rsidR="005043AC" w:rsidRPr="00A4399B">
        <w:rPr>
          <w:rFonts w:ascii="Arial" w:hAnsi="Arial" w:cs="Arial"/>
          <w:sz w:val="22"/>
          <w:szCs w:val="22"/>
        </w:rPr>
        <w:t xml:space="preserve">submitted </w:t>
      </w:r>
      <w:r w:rsidRPr="00A4399B">
        <w:rPr>
          <w:rFonts w:ascii="Arial" w:hAnsi="Arial" w:cs="Arial"/>
          <w:sz w:val="22"/>
          <w:szCs w:val="22"/>
        </w:rPr>
        <w:t>late because</w:t>
      </w:r>
      <w:r w:rsidR="003D33CB" w:rsidRPr="00A4399B">
        <w:rPr>
          <w:rFonts w:ascii="Arial" w:hAnsi="Arial" w:cs="Arial"/>
          <w:sz w:val="22"/>
          <w:szCs w:val="22"/>
        </w:rPr>
        <w:t xml:space="preserve"> </w:t>
      </w:r>
      <w:r w:rsidR="006C6242" w:rsidRPr="00A4399B">
        <w:rPr>
          <w:rFonts w:ascii="Arial" w:hAnsi="Arial" w:cs="Arial"/>
          <w:sz w:val="22"/>
          <w:szCs w:val="22"/>
        </w:rPr>
        <w:t xml:space="preserve">the appellant </w:t>
      </w:r>
      <w:r w:rsidR="007F1DB8" w:rsidRPr="00A4399B">
        <w:rPr>
          <w:rFonts w:ascii="Arial" w:hAnsi="Arial" w:cs="Arial"/>
          <w:sz w:val="22"/>
          <w:szCs w:val="22"/>
        </w:rPr>
        <w:t xml:space="preserve">did not </w:t>
      </w:r>
      <w:r w:rsidR="00125906">
        <w:rPr>
          <w:rFonts w:ascii="Arial" w:hAnsi="Arial" w:cs="Arial"/>
          <w:sz w:val="22"/>
          <w:szCs w:val="22"/>
        </w:rPr>
        <w:t xml:space="preserve">the </w:t>
      </w:r>
      <w:r w:rsidR="007F1DB8" w:rsidRPr="00A4399B">
        <w:rPr>
          <w:rFonts w:ascii="Arial" w:hAnsi="Arial" w:cs="Arial"/>
          <w:sz w:val="22"/>
          <w:szCs w:val="22"/>
        </w:rPr>
        <w:t xml:space="preserve">know of </w:t>
      </w:r>
      <w:r w:rsidR="00D43316">
        <w:rPr>
          <w:rFonts w:ascii="Arial" w:hAnsi="Arial" w:cs="Arial"/>
          <w:sz w:val="22"/>
          <w:szCs w:val="22"/>
        </w:rPr>
        <w:t xml:space="preserve">and did not receive </w:t>
      </w:r>
      <w:r w:rsidR="00F5401C" w:rsidRPr="00A4399B">
        <w:rPr>
          <w:rFonts w:ascii="Arial" w:hAnsi="Arial" w:cs="Arial"/>
          <w:sz w:val="22"/>
          <w:szCs w:val="22"/>
        </w:rPr>
        <w:t xml:space="preserve">the </w:t>
      </w:r>
      <w:r w:rsidR="00D43316">
        <w:rPr>
          <w:rFonts w:ascii="Arial" w:hAnsi="Arial" w:cs="Arial"/>
          <w:sz w:val="22"/>
          <w:szCs w:val="22"/>
        </w:rPr>
        <w:t xml:space="preserve">refusal </w:t>
      </w:r>
      <w:r w:rsidR="00F5401C" w:rsidRPr="00A4399B">
        <w:rPr>
          <w:rFonts w:ascii="Arial" w:hAnsi="Arial" w:cs="Arial"/>
          <w:sz w:val="22"/>
          <w:szCs w:val="22"/>
        </w:rPr>
        <w:t>decision of 3 February 202</w:t>
      </w:r>
      <w:r w:rsidR="00B45230" w:rsidRPr="00A4399B">
        <w:rPr>
          <w:rFonts w:ascii="Arial" w:hAnsi="Arial" w:cs="Arial"/>
          <w:sz w:val="22"/>
          <w:szCs w:val="22"/>
        </w:rPr>
        <w:t>1</w:t>
      </w:r>
      <w:r w:rsidR="00897601" w:rsidRPr="00A4399B">
        <w:rPr>
          <w:rFonts w:ascii="Arial" w:hAnsi="Arial" w:cs="Arial"/>
          <w:sz w:val="22"/>
          <w:szCs w:val="22"/>
        </w:rPr>
        <w:t xml:space="preserve"> </w:t>
      </w:r>
      <w:r w:rsidR="007F1DB8" w:rsidRPr="00A4399B">
        <w:rPr>
          <w:rFonts w:ascii="Arial" w:hAnsi="Arial" w:cs="Arial"/>
          <w:sz w:val="22"/>
          <w:szCs w:val="22"/>
        </w:rPr>
        <w:t>until</w:t>
      </w:r>
      <w:r w:rsidR="00897601" w:rsidRPr="00A4399B">
        <w:rPr>
          <w:rFonts w:ascii="Arial" w:hAnsi="Arial" w:cs="Arial"/>
          <w:sz w:val="22"/>
          <w:szCs w:val="22"/>
        </w:rPr>
        <w:t xml:space="preserve"> his then solicitors file</w:t>
      </w:r>
      <w:r w:rsidR="00810001" w:rsidRPr="00A4399B">
        <w:rPr>
          <w:rFonts w:ascii="Arial" w:hAnsi="Arial" w:cs="Arial"/>
          <w:sz w:val="22"/>
          <w:szCs w:val="22"/>
        </w:rPr>
        <w:t>d</w:t>
      </w:r>
      <w:r w:rsidR="00897601" w:rsidRPr="00A4399B">
        <w:rPr>
          <w:rFonts w:ascii="Arial" w:hAnsi="Arial" w:cs="Arial"/>
          <w:sz w:val="22"/>
          <w:szCs w:val="22"/>
        </w:rPr>
        <w:t xml:space="preserve"> a </w:t>
      </w:r>
      <w:r w:rsidR="00810001" w:rsidRPr="00A4399B">
        <w:rPr>
          <w:rFonts w:ascii="Arial" w:hAnsi="Arial" w:cs="Arial"/>
          <w:sz w:val="22"/>
          <w:szCs w:val="22"/>
        </w:rPr>
        <w:t>P</w:t>
      </w:r>
      <w:r w:rsidR="00897601" w:rsidRPr="00A4399B">
        <w:rPr>
          <w:rFonts w:ascii="Arial" w:hAnsi="Arial" w:cs="Arial"/>
          <w:sz w:val="22"/>
          <w:szCs w:val="22"/>
        </w:rPr>
        <w:t>re-</w:t>
      </w:r>
      <w:r w:rsidR="00810001" w:rsidRPr="00A4399B">
        <w:rPr>
          <w:rFonts w:ascii="Arial" w:hAnsi="Arial" w:cs="Arial"/>
          <w:sz w:val="22"/>
          <w:szCs w:val="22"/>
        </w:rPr>
        <w:t>A</w:t>
      </w:r>
      <w:r w:rsidR="00897601" w:rsidRPr="00A4399B">
        <w:rPr>
          <w:rFonts w:ascii="Arial" w:hAnsi="Arial" w:cs="Arial"/>
          <w:sz w:val="22"/>
          <w:szCs w:val="22"/>
        </w:rPr>
        <w:t xml:space="preserve">ction Protocol </w:t>
      </w:r>
      <w:r w:rsidR="00810001" w:rsidRPr="00A4399B">
        <w:rPr>
          <w:rFonts w:ascii="Arial" w:hAnsi="Arial" w:cs="Arial"/>
          <w:sz w:val="22"/>
          <w:szCs w:val="22"/>
        </w:rPr>
        <w:t xml:space="preserve">(PAP) </w:t>
      </w:r>
      <w:r w:rsidR="00897601" w:rsidRPr="00A4399B">
        <w:rPr>
          <w:rFonts w:ascii="Arial" w:hAnsi="Arial" w:cs="Arial"/>
          <w:sz w:val="22"/>
          <w:szCs w:val="22"/>
        </w:rPr>
        <w:t>letter</w:t>
      </w:r>
      <w:r w:rsidR="007F1DB8" w:rsidRPr="00A4399B">
        <w:rPr>
          <w:rFonts w:ascii="Arial" w:hAnsi="Arial" w:cs="Arial"/>
          <w:sz w:val="22"/>
          <w:szCs w:val="22"/>
        </w:rPr>
        <w:t xml:space="preserve"> to the Home Office</w:t>
      </w:r>
      <w:r w:rsidR="0013082F" w:rsidRPr="00A4399B">
        <w:rPr>
          <w:rFonts w:ascii="Arial" w:hAnsi="Arial" w:cs="Arial"/>
          <w:sz w:val="22"/>
          <w:szCs w:val="22"/>
        </w:rPr>
        <w:t>.</w:t>
      </w:r>
    </w:p>
    <w:p w14:paraId="2B5FB572" w14:textId="77777777" w:rsidR="00FE291D" w:rsidRPr="00A4399B" w:rsidRDefault="00FE291D" w:rsidP="0013082F">
      <w:pPr>
        <w:autoSpaceDE w:val="0"/>
        <w:autoSpaceDN w:val="0"/>
        <w:adjustRightInd w:val="0"/>
        <w:ind w:right="425"/>
        <w:jc w:val="both"/>
        <w:rPr>
          <w:rFonts w:ascii="Arial" w:hAnsi="Arial" w:cs="Arial"/>
          <w:sz w:val="22"/>
          <w:szCs w:val="22"/>
        </w:rPr>
      </w:pPr>
    </w:p>
    <w:p w14:paraId="779D8094" w14:textId="21F56D9B" w:rsidR="00C15CD4" w:rsidRPr="00A4399B" w:rsidRDefault="00B45230" w:rsidP="009F7DDF">
      <w:pPr>
        <w:pStyle w:val="ListParagraph"/>
        <w:numPr>
          <w:ilvl w:val="0"/>
          <w:numId w:val="3"/>
        </w:numPr>
        <w:tabs>
          <w:tab w:val="num" w:pos="0"/>
          <w:tab w:val="left" w:pos="560"/>
        </w:tabs>
        <w:autoSpaceDE w:val="0"/>
        <w:autoSpaceDN w:val="0"/>
        <w:adjustRightInd w:val="0"/>
        <w:ind w:left="0" w:firstLine="0"/>
        <w:jc w:val="both"/>
        <w:rPr>
          <w:rFonts w:ascii="Arial" w:hAnsi="Arial" w:cs="Arial"/>
          <w:sz w:val="22"/>
          <w:szCs w:val="22"/>
        </w:rPr>
      </w:pPr>
      <w:bookmarkStart w:id="3" w:name="_Hlk54204963"/>
      <w:r w:rsidRPr="00A4399B">
        <w:rPr>
          <w:rFonts w:ascii="Arial" w:hAnsi="Arial" w:cs="Arial"/>
          <w:sz w:val="22"/>
          <w:szCs w:val="22"/>
        </w:rPr>
        <w:t>On 15 March 2021,</w:t>
      </w:r>
      <w:r w:rsidR="00C15CD4" w:rsidRPr="00A4399B">
        <w:rPr>
          <w:rFonts w:ascii="Arial" w:hAnsi="Arial" w:cs="Arial"/>
          <w:sz w:val="22"/>
          <w:szCs w:val="22"/>
        </w:rPr>
        <w:t xml:space="preserve"> the appellant was given permission to advance an additional ground of appeal, namely that he should be accommodated for the time being under the section 4 power, whether or not he meets the criteria set out in </w:t>
      </w:r>
      <w:r w:rsidR="00D43316">
        <w:rPr>
          <w:rFonts w:ascii="Arial" w:hAnsi="Arial" w:cs="Arial"/>
          <w:sz w:val="22"/>
          <w:szCs w:val="22"/>
        </w:rPr>
        <w:t>r</w:t>
      </w:r>
      <w:r w:rsidR="00C15CD4" w:rsidRPr="00A4399B">
        <w:rPr>
          <w:rFonts w:ascii="Arial" w:hAnsi="Arial" w:cs="Arial"/>
          <w:sz w:val="22"/>
          <w:szCs w:val="22"/>
        </w:rPr>
        <w:t>egulation 3(2) because that is in the interest of public health as matters stand in the pandemic.</w:t>
      </w:r>
    </w:p>
    <w:p w14:paraId="385A2EF7" w14:textId="1A97FB4B" w:rsidR="00A72533" w:rsidRPr="00A4399B" w:rsidRDefault="00A72533" w:rsidP="00064BBB">
      <w:pPr>
        <w:pStyle w:val="ListParagraph"/>
        <w:autoSpaceDE w:val="0"/>
        <w:autoSpaceDN w:val="0"/>
        <w:adjustRightInd w:val="0"/>
        <w:ind w:left="0"/>
        <w:jc w:val="both"/>
        <w:rPr>
          <w:rFonts w:ascii="Arial" w:hAnsi="Arial" w:cs="Arial"/>
          <w:sz w:val="22"/>
          <w:szCs w:val="22"/>
        </w:rPr>
      </w:pPr>
    </w:p>
    <w:p w14:paraId="4260039C" w14:textId="77777777" w:rsidR="00190B0D" w:rsidRPr="00A4399B" w:rsidRDefault="00190B0D" w:rsidP="001332A2">
      <w:pPr>
        <w:autoSpaceDE w:val="0"/>
        <w:autoSpaceDN w:val="0"/>
        <w:adjustRightInd w:val="0"/>
        <w:ind w:right="425"/>
        <w:jc w:val="both"/>
        <w:rPr>
          <w:rFonts w:ascii="Arial" w:hAnsi="Arial" w:cs="Arial"/>
          <w:sz w:val="22"/>
          <w:szCs w:val="22"/>
        </w:rPr>
      </w:pPr>
      <w:bookmarkStart w:id="4" w:name="_Hlk70281728"/>
    </w:p>
    <w:bookmarkEnd w:id="4"/>
    <w:p w14:paraId="3B5D8B0F" w14:textId="7452E78F" w:rsidR="00C15CD4" w:rsidRPr="00A4399B" w:rsidRDefault="00C15CD4" w:rsidP="00190B0D">
      <w:pPr>
        <w:autoSpaceDE w:val="0"/>
        <w:autoSpaceDN w:val="0"/>
        <w:adjustRightInd w:val="0"/>
        <w:ind w:right="425"/>
        <w:jc w:val="both"/>
        <w:rPr>
          <w:rFonts w:ascii="Arial Black" w:hAnsi="Arial Black" w:cs="Arial"/>
          <w:b/>
          <w:smallCaps/>
          <w:sz w:val="22"/>
          <w:szCs w:val="22"/>
        </w:rPr>
      </w:pPr>
      <w:r w:rsidRPr="00A4399B">
        <w:rPr>
          <w:rFonts w:ascii="Arial Black" w:hAnsi="Arial Black" w:cs="Arial"/>
          <w:b/>
          <w:smallCaps/>
          <w:sz w:val="22"/>
          <w:szCs w:val="22"/>
        </w:rPr>
        <w:t>Appellant’s Immigration and Asylum Support history</w:t>
      </w:r>
    </w:p>
    <w:p w14:paraId="2B8A5A5A" w14:textId="77777777" w:rsidR="00190B0D" w:rsidRPr="00A4399B" w:rsidRDefault="00190B0D" w:rsidP="00190B0D">
      <w:pPr>
        <w:autoSpaceDE w:val="0"/>
        <w:autoSpaceDN w:val="0"/>
        <w:adjustRightInd w:val="0"/>
        <w:ind w:right="425"/>
        <w:jc w:val="both"/>
        <w:rPr>
          <w:rFonts w:ascii="Arial" w:hAnsi="Arial" w:cs="Arial"/>
          <w:sz w:val="22"/>
          <w:szCs w:val="22"/>
        </w:rPr>
      </w:pPr>
    </w:p>
    <w:p w14:paraId="6E27EC9C" w14:textId="16C0403C" w:rsidR="00367033" w:rsidRPr="00A4399B" w:rsidRDefault="009F7DDF" w:rsidP="003D33CB">
      <w:pPr>
        <w:numPr>
          <w:ilvl w:val="0"/>
          <w:numId w:val="3"/>
        </w:numPr>
        <w:tabs>
          <w:tab w:val="num" w:pos="0"/>
          <w:tab w:val="num" w:pos="567"/>
        </w:tabs>
        <w:ind w:left="0" w:firstLine="0"/>
        <w:jc w:val="both"/>
        <w:rPr>
          <w:rFonts w:ascii="Arial" w:hAnsi="Arial" w:cs="Arial"/>
          <w:sz w:val="22"/>
          <w:szCs w:val="22"/>
        </w:rPr>
      </w:pPr>
      <w:r>
        <w:rPr>
          <w:rFonts w:ascii="Arial" w:hAnsi="Arial" w:cs="Arial"/>
          <w:sz w:val="22"/>
          <w:szCs w:val="22"/>
        </w:rPr>
        <w:t>T</w:t>
      </w:r>
      <w:r w:rsidR="00EE1DD2" w:rsidRPr="00A4399B">
        <w:rPr>
          <w:rFonts w:ascii="Arial" w:hAnsi="Arial" w:cs="Arial"/>
          <w:sz w:val="22"/>
          <w:szCs w:val="22"/>
        </w:rPr>
        <w:t xml:space="preserve">he appellant </w:t>
      </w:r>
      <w:r w:rsidR="0018198D" w:rsidRPr="00A4399B">
        <w:rPr>
          <w:rFonts w:ascii="Arial" w:hAnsi="Arial" w:cs="Arial"/>
          <w:sz w:val="22"/>
          <w:szCs w:val="22"/>
        </w:rPr>
        <w:t>claims to have entered the UK on 21 December</w:t>
      </w:r>
      <w:r w:rsidR="00D57FB3" w:rsidRPr="00A4399B">
        <w:rPr>
          <w:rFonts w:ascii="Arial" w:hAnsi="Arial" w:cs="Arial"/>
          <w:sz w:val="22"/>
          <w:szCs w:val="22"/>
        </w:rPr>
        <w:t xml:space="preserve"> 2017</w:t>
      </w:r>
      <w:r w:rsidR="00793E00" w:rsidRPr="00A4399B">
        <w:rPr>
          <w:rFonts w:ascii="Arial" w:hAnsi="Arial" w:cs="Arial"/>
          <w:sz w:val="22"/>
          <w:szCs w:val="22"/>
        </w:rPr>
        <w:t xml:space="preserve">. </w:t>
      </w:r>
      <w:r w:rsidR="004712DA" w:rsidRPr="00A4399B">
        <w:rPr>
          <w:rFonts w:ascii="Arial" w:hAnsi="Arial" w:cs="Arial"/>
          <w:sz w:val="22"/>
          <w:szCs w:val="22"/>
        </w:rPr>
        <w:t xml:space="preserve">On 22 December 2017, </w:t>
      </w:r>
      <w:r w:rsidR="00DB787D" w:rsidRPr="00A4399B">
        <w:rPr>
          <w:rFonts w:ascii="Arial" w:hAnsi="Arial" w:cs="Arial"/>
          <w:sz w:val="22"/>
          <w:szCs w:val="22"/>
        </w:rPr>
        <w:t>h</w:t>
      </w:r>
      <w:r w:rsidR="00793E00" w:rsidRPr="00A4399B">
        <w:rPr>
          <w:rFonts w:ascii="Arial" w:hAnsi="Arial" w:cs="Arial"/>
          <w:sz w:val="22"/>
          <w:szCs w:val="22"/>
        </w:rPr>
        <w:t xml:space="preserve">e </w:t>
      </w:r>
      <w:r w:rsidR="00D57FB3" w:rsidRPr="00A4399B">
        <w:rPr>
          <w:rFonts w:ascii="Arial" w:hAnsi="Arial" w:cs="Arial"/>
          <w:sz w:val="22"/>
          <w:szCs w:val="22"/>
        </w:rPr>
        <w:t>approached the police</w:t>
      </w:r>
      <w:r w:rsidR="00793E00" w:rsidRPr="00A4399B">
        <w:rPr>
          <w:rFonts w:ascii="Arial" w:hAnsi="Arial" w:cs="Arial"/>
          <w:sz w:val="22"/>
          <w:szCs w:val="22"/>
        </w:rPr>
        <w:t xml:space="preserve"> and </w:t>
      </w:r>
      <w:r w:rsidR="00AB6458" w:rsidRPr="00A4399B">
        <w:rPr>
          <w:rFonts w:ascii="Arial" w:hAnsi="Arial" w:cs="Arial"/>
          <w:sz w:val="22"/>
          <w:szCs w:val="22"/>
        </w:rPr>
        <w:t>applied for asylum. His claim was refused on 4 October 2019</w:t>
      </w:r>
      <w:r w:rsidR="009914B4">
        <w:rPr>
          <w:rFonts w:ascii="Arial" w:hAnsi="Arial" w:cs="Arial"/>
          <w:sz w:val="22"/>
          <w:szCs w:val="22"/>
        </w:rPr>
        <w:t>,</w:t>
      </w:r>
      <w:r w:rsidR="00B95349" w:rsidRPr="00A4399B">
        <w:rPr>
          <w:rFonts w:ascii="Arial" w:hAnsi="Arial" w:cs="Arial"/>
          <w:sz w:val="22"/>
          <w:szCs w:val="22"/>
        </w:rPr>
        <w:t xml:space="preserve"> and his appeal against that refusal was dismissed by the First</w:t>
      </w:r>
      <w:r w:rsidR="00997985" w:rsidRPr="00A4399B">
        <w:rPr>
          <w:rFonts w:ascii="Arial" w:hAnsi="Arial" w:cs="Arial"/>
          <w:sz w:val="22"/>
          <w:szCs w:val="22"/>
        </w:rPr>
        <w:t>-</w:t>
      </w:r>
      <w:r w:rsidR="00B95349" w:rsidRPr="00A4399B">
        <w:rPr>
          <w:rFonts w:ascii="Arial" w:hAnsi="Arial" w:cs="Arial"/>
          <w:sz w:val="22"/>
          <w:szCs w:val="22"/>
        </w:rPr>
        <w:t>tier Tribunal</w:t>
      </w:r>
      <w:r w:rsidR="0061392F" w:rsidRPr="00A4399B">
        <w:rPr>
          <w:rFonts w:ascii="Arial" w:hAnsi="Arial" w:cs="Arial"/>
          <w:sz w:val="22"/>
          <w:szCs w:val="22"/>
        </w:rPr>
        <w:t xml:space="preserve"> Immigration and Asylum Chamber</w:t>
      </w:r>
      <w:r w:rsidR="006A2F98" w:rsidRPr="00A4399B">
        <w:rPr>
          <w:rFonts w:ascii="Arial" w:hAnsi="Arial" w:cs="Arial"/>
          <w:sz w:val="22"/>
          <w:szCs w:val="22"/>
        </w:rPr>
        <w:t xml:space="preserve"> (FTT-IAC)</w:t>
      </w:r>
      <w:r w:rsidR="0061392F" w:rsidRPr="00A4399B">
        <w:rPr>
          <w:rFonts w:ascii="Arial" w:hAnsi="Arial" w:cs="Arial"/>
          <w:sz w:val="22"/>
          <w:szCs w:val="22"/>
        </w:rPr>
        <w:t xml:space="preserve"> on 22 November 2019. </w:t>
      </w:r>
      <w:r w:rsidR="008751F8" w:rsidRPr="00A4399B">
        <w:rPr>
          <w:rFonts w:ascii="Arial" w:hAnsi="Arial" w:cs="Arial"/>
          <w:sz w:val="22"/>
          <w:szCs w:val="22"/>
        </w:rPr>
        <w:t xml:space="preserve">An application for permission to appeal </w:t>
      </w:r>
      <w:r w:rsidR="006A2F98" w:rsidRPr="00A4399B">
        <w:rPr>
          <w:rFonts w:ascii="Arial" w:hAnsi="Arial" w:cs="Arial"/>
          <w:sz w:val="22"/>
          <w:szCs w:val="22"/>
        </w:rPr>
        <w:t>that decision was refused by the FTT-IAC on 13 January 2020</w:t>
      </w:r>
      <w:r w:rsidR="009914B4">
        <w:rPr>
          <w:rFonts w:ascii="Arial" w:hAnsi="Arial" w:cs="Arial"/>
          <w:sz w:val="22"/>
          <w:szCs w:val="22"/>
        </w:rPr>
        <w:t>,</w:t>
      </w:r>
      <w:r w:rsidR="006A2F98" w:rsidRPr="00A4399B">
        <w:rPr>
          <w:rFonts w:ascii="Arial" w:hAnsi="Arial" w:cs="Arial"/>
          <w:sz w:val="22"/>
          <w:szCs w:val="22"/>
        </w:rPr>
        <w:t xml:space="preserve"> and by the</w:t>
      </w:r>
      <w:r w:rsidR="00F405B5" w:rsidRPr="00A4399B">
        <w:rPr>
          <w:rFonts w:ascii="Arial" w:hAnsi="Arial" w:cs="Arial"/>
          <w:sz w:val="22"/>
          <w:szCs w:val="22"/>
        </w:rPr>
        <w:t xml:space="preserve"> Upper Tribunal Immigration and Asylum Chamber (UT-IAC)</w:t>
      </w:r>
      <w:r w:rsidR="000E647A" w:rsidRPr="00A4399B">
        <w:rPr>
          <w:rFonts w:ascii="Arial" w:hAnsi="Arial" w:cs="Arial"/>
          <w:sz w:val="22"/>
          <w:szCs w:val="22"/>
        </w:rPr>
        <w:t xml:space="preserve"> on 30 June 2020. </w:t>
      </w:r>
      <w:r w:rsidR="006F2446">
        <w:rPr>
          <w:rFonts w:ascii="Arial" w:hAnsi="Arial" w:cs="Arial"/>
          <w:sz w:val="22"/>
          <w:szCs w:val="22"/>
        </w:rPr>
        <w:t>T</w:t>
      </w:r>
      <w:r w:rsidR="00EE1DD2" w:rsidRPr="00A4399B">
        <w:rPr>
          <w:rFonts w:ascii="Arial" w:hAnsi="Arial" w:cs="Arial"/>
          <w:sz w:val="22"/>
          <w:szCs w:val="22"/>
        </w:rPr>
        <w:t xml:space="preserve">he appellant </w:t>
      </w:r>
      <w:r w:rsidR="000E647A" w:rsidRPr="00A4399B">
        <w:rPr>
          <w:rFonts w:ascii="Arial" w:hAnsi="Arial" w:cs="Arial"/>
          <w:sz w:val="22"/>
          <w:szCs w:val="22"/>
        </w:rPr>
        <w:t>became appeal</w:t>
      </w:r>
      <w:r w:rsidR="00000339" w:rsidRPr="00A4399B">
        <w:rPr>
          <w:rFonts w:ascii="Arial" w:hAnsi="Arial" w:cs="Arial"/>
          <w:sz w:val="22"/>
          <w:szCs w:val="22"/>
        </w:rPr>
        <w:t xml:space="preserve"> rights exhausted on 22 July 2020.</w:t>
      </w:r>
    </w:p>
    <w:p w14:paraId="0242BCA1" w14:textId="77777777" w:rsidR="0061392F" w:rsidRPr="00A4399B" w:rsidRDefault="0061392F" w:rsidP="00000339">
      <w:pPr>
        <w:tabs>
          <w:tab w:val="num" w:pos="720"/>
        </w:tabs>
        <w:jc w:val="both"/>
        <w:rPr>
          <w:rFonts w:ascii="Arial" w:hAnsi="Arial" w:cs="Arial"/>
          <w:sz w:val="22"/>
          <w:szCs w:val="22"/>
        </w:rPr>
      </w:pPr>
    </w:p>
    <w:p w14:paraId="3B90BEDD" w14:textId="13A1AE95" w:rsidR="002208BB" w:rsidRPr="00A4399B" w:rsidRDefault="00233F50" w:rsidP="004E171E">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 xml:space="preserve">On </w:t>
      </w:r>
      <w:r w:rsidR="00F03EFD" w:rsidRPr="00A4399B">
        <w:rPr>
          <w:rFonts w:ascii="Arial" w:hAnsi="Arial" w:cs="Arial"/>
          <w:sz w:val="22"/>
          <w:szCs w:val="22"/>
        </w:rPr>
        <w:t>19 October 2020</w:t>
      </w:r>
      <w:r w:rsidR="004F46DB" w:rsidRPr="00A4399B">
        <w:rPr>
          <w:rFonts w:ascii="Arial" w:hAnsi="Arial" w:cs="Arial"/>
          <w:sz w:val="22"/>
          <w:szCs w:val="22"/>
        </w:rPr>
        <w:t xml:space="preserve">, </w:t>
      </w:r>
      <w:r w:rsidR="00EE1DD2" w:rsidRPr="00A4399B">
        <w:rPr>
          <w:rFonts w:ascii="Arial" w:hAnsi="Arial" w:cs="Arial"/>
          <w:sz w:val="22"/>
          <w:szCs w:val="22"/>
        </w:rPr>
        <w:t xml:space="preserve">the appellant </w:t>
      </w:r>
      <w:r w:rsidR="004F46DB" w:rsidRPr="00A4399B">
        <w:rPr>
          <w:rFonts w:ascii="Arial" w:hAnsi="Arial" w:cs="Arial"/>
          <w:sz w:val="22"/>
          <w:szCs w:val="22"/>
        </w:rPr>
        <w:t>applied for section 4(2) support</w:t>
      </w:r>
      <w:r w:rsidR="008A6E49" w:rsidRPr="00A4399B">
        <w:rPr>
          <w:rFonts w:ascii="Arial" w:hAnsi="Arial" w:cs="Arial"/>
          <w:sz w:val="22"/>
          <w:szCs w:val="22"/>
        </w:rPr>
        <w:t xml:space="preserve"> </w:t>
      </w:r>
      <w:r w:rsidR="00576FB5" w:rsidRPr="00A4399B">
        <w:rPr>
          <w:rFonts w:ascii="Arial" w:hAnsi="Arial" w:cs="Arial"/>
          <w:sz w:val="22"/>
          <w:szCs w:val="22"/>
        </w:rPr>
        <w:t>claiming he was street homeless</w:t>
      </w:r>
      <w:r w:rsidR="004F46DB" w:rsidRPr="00A4399B">
        <w:rPr>
          <w:rFonts w:ascii="Arial" w:hAnsi="Arial" w:cs="Arial"/>
          <w:sz w:val="22"/>
          <w:szCs w:val="22"/>
        </w:rPr>
        <w:t xml:space="preserve">. </w:t>
      </w:r>
      <w:r w:rsidR="00576FB5" w:rsidRPr="00A4399B">
        <w:rPr>
          <w:rFonts w:ascii="Arial" w:hAnsi="Arial" w:cs="Arial"/>
          <w:sz w:val="22"/>
          <w:szCs w:val="22"/>
        </w:rPr>
        <w:t>The application</w:t>
      </w:r>
      <w:r w:rsidR="004F46DB" w:rsidRPr="00A4399B">
        <w:rPr>
          <w:rFonts w:ascii="Arial" w:hAnsi="Arial" w:cs="Arial"/>
          <w:sz w:val="22"/>
          <w:szCs w:val="22"/>
        </w:rPr>
        <w:t xml:space="preserve"> was refused on 21 October 2020</w:t>
      </w:r>
      <w:r w:rsidR="0006463C" w:rsidRPr="00A4399B">
        <w:rPr>
          <w:rFonts w:ascii="Arial" w:hAnsi="Arial" w:cs="Arial"/>
          <w:sz w:val="22"/>
          <w:szCs w:val="22"/>
        </w:rPr>
        <w:t>,</w:t>
      </w:r>
      <w:r w:rsidR="008A6E49" w:rsidRPr="00A4399B">
        <w:rPr>
          <w:rFonts w:ascii="Arial" w:hAnsi="Arial" w:cs="Arial"/>
          <w:sz w:val="22"/>
          <w:szCs w:val="22"/>
        </w:rPr>
        <w:t xml:space="preserve"> </w:t>
      </w:r>
      <w:r w:rsidR="00B5251B" w:rsidRPr="00A4399B">
        <w:rPr>
          <w:rFonts w:ascii="Arial" w:hAnsi="Arial" w:cs="Arial"/>
          <w:sz w:val="22"/>
          <w:szCs w:val="22"/>
        </w:rPr>
        <w:t xml:space="preserve">but the appellant did not exercise his right of appeal against the decision. </w:t>
      </w:r>
      <w:r w:rsidR="002E571C" w:rsidRPr="00A4399B">
        <w:rPr>
          <w:rFonts w:ascii="Arial" w:hAnsi="Arial" w:cs="Arial"/>
          <w:sz w:val="22"/>
          <w:szCs w:val="22"/>
        </w:rPr>
        <w:t>On 2</w:t>
      </w:r>
      <w:r w:rsidRPr="00A4399B">
        <w:rPr>
          <w:rFonts w:ascii="Arial" w:hAnsi="Arial" w:cs="Arial"/>
          <w:sz w:val="22"/>
          <w:szCs w:val="22"/>
        </w:rPr>
        <w:t xml:space="preserve"> February 2021, </w:t>
      </w:r>
      <w:r w:rsidR="00AE1456">
        <w:rPr>
          <w:rFonts w:ascii="Arial" w:hAnsi="Arial" w:cs="Arial"/>
          <w:sz w:val="22"/>
          <w:szCs w:val="22"/>
        </w:rPr>
        <w:t>the appellant</w:t>
      </w:r>
      <w:r w:rsidR="00EB7BCD" w:rsidRPr="00A4399B">
        <w:rPr>
          <w:rFonts w:ascii="Arial" w:hAnsi="Arial" w:cs="Arial"/>
          <w:sz w:val="22"/>
          <w:szCs w:val="22"/>
        </w:rPr>
        <w:t xml:space="preserve"> applied </w:t>
      </w:r>
      <w:r w:rsidR="0006463C" w:rsidRPr="00A4399B">
        <w:rPr>
          <w:rFonts w:ascii="Arial" w:hAnsi="Arial" w:cs="Arial"/>
          <w:sz w:val="22"/>
          <w:szCs w:val="22"/>
        </w:rPr>
        <w:t xml:space="preserve">again </w:t>
      </w:r>
      <w:r w:rsidR="00EB7BCD" w:rsidRPr="00A4399B">
        <w:rPr>
          <w:rFonts w:ascii="Arial" w:hAnsi="Arial" w:cs="Arial"/>
          <w:sz w:val="22"/>
          <w:szCs w:val="22"/>
        </w:rPr>
        <w:t>for support.</w:t>
      </w:r>
      <w:r w:rsidR="004B3C65" w:rsidRPr="00A4399B">
        <w:rPr>
          <w:rFonts w:ascii="Arial" w:hAnsi="Arial" w:cs="Arial"/>
          <w:sz w:val="22"/>
          <w:szCs w:val="22"/>
        </w:rPr>
        <w:t xml:space="preserve"> </w:t>
      </w:r>
      <w:r w:rsidR="00820DAE" w:rsidRPr="00A4399B">
        <w:rPr>
          <w:rFonts w:ascii="Arial" w:hAnsi="Arial" w:cs="Arial"/>
          <w:sz w:val="22"/>
          <w:szCs w:val="22"/>
        </w:rPr>
        <w:t xml:space="preserve">He </w:t>
      </w:r>
      <w:r w:rsidR="004B3C65" w:rsidRPr="00A4399B">
        <w:rPr>
          <w:rFonts w:ascii="Arial" w:hAnsi="Arial" w:cs="Arial"/>
          <w:sz w:val="22"/>
          <w:szCs w:val="22"/>
        </w:rPr>
        <w:t>stated his solicitor</w:t>
      </w:r>
      <w:r w:rsidR="00A70AFD" w:rsidRPr="00A4399B">
        <w:rPr>
          <w:rFonts w:ascii="Arial" w:hAnsi="Arial" w:cs="Arial"/>
          <w:sz w:val="22"/>
          <w:szCs w:val="22"/>
        </w:rPr>
        <w:t xml:space="preserve"> </w:t>
      </w:r>
      <w:r w:rsidR="00820DAE" w:rsidRPr="00A4399B">
        <w:rPr>
          <w:rFonts w:ascii="Arial" w:hAnsi="Arial" w:cs="Arial"/>
          <w:sz w:val="22"/>
          <w:szCs w:val="22"/>
        </w:rPr>
        <w:t>was</w:t>
      </w:r>
      <w:r w:rsidR="00321A80" w:rsidRPr="00A4399B">
        <w:rPr>
          <w:rFonts w:ascii="Arial" w:hAnsi="Arial" w:cs="Arial"/>
          <w:sz w:val="22"/>
          <w:szCs w:val="22"/>
        </w:rPr>
        <w:t xml:space="preserve"> </w:t>
      </w:r>
      <w:r w:rsidR="00BE3FD1" w:rsidRPr="00A4399B">
        <w:rPr>
          <w:rFonts w:ascii="Arial" w:hAnsi="Arial" w:cs="Arial"/>
          <w:sz w:val="22"/>
          <w:szCs w:val="22"/>
        </w:rPr>
        <w:t>preparing</w:t>
      </w:r>
      <w:r w:rsidR="004B3C65" w:rsidRPr="00A4399B">
        <w:rPr>
          <w:rFonts w:ascii="Arial" w:hAnsi="Arial" w:cs="Arial"/>
          <w:sz w:val="22"/>
          <w:szCs w:val="22"/>
        </w:rPr>
        <w:t xml:space="preserve"> a </w:t>
      </w:r>
      <w:r w:rsidR="00A70AFD" w:rsidRPr="00A4399B">
        <w:rPr>
          <w:rFonts w:ascii="Arial" w:hAnsi="Arial" w:cs="Arial"/>
          <w:sz w:val="22"/>
          <w:szCs w:val="22"/>
        </w:rPr>
        <w:t>“</w:t>
      </w:r>
      <w:r w:rsidR="004B3C65" w:rsidRPr="00A4399B">
        <w:rPr>
          <w:rFonts w:ascii="Arial" w:hAnsi="Arial" w:cs="Arial"/>
          <w:sz w:val="22"/>
          <w:szCs w:val="22"/>
        </w:rPr>
        <w:t>fresh claim</w:t>
      </w:r>
      <w:r w:rsidR="00A70AFD" w:rsidRPr="00A4399B">
        <w:rPr>
          <w:rFonts w:ascii="Arial" w:hAnsi="Arial" w:cs="Arial"/>
          <w:sz w:val="22"/>
          <w:szCs w:val="22"/>
        </w:rPr>
        <w:t>”</w:t>
      </w:r>
      <w:r w:rsidR="00B54E92" w:rsidRPr="00A4399B">
        <w:rPr>
          <w:rFonts w:ascii="Arial" w:hAnsi="Arial" w:cs="Arial"/>
          <w:sz w:val="22"/>
          <w:szCs w:val="22"/>
        </w:rPr>
        <w:t xml:space="preserve"> </w:t>
      </w:r>
      <w:r w:rsidR="001638F8" w:rsidRPr="00A4399B">
        <w:rPr>
          <w:rFonts w:ascii="Arial" w:hAnsi="Arial" w:cs="Arial"/>
          <w:sz w:val="22"/>
          <w:szCs w:val="22"/>
        </w:rPr>
        <w:t>which would be submitted “within the week</w:t>
      </w:r>
      <w:r w:rsidR="004E171E" w:rsidRPr="00A4399B">
        <w:rPr>
          <w:rFonts w:ascii="Arial" w:hAnsi="Arial" w:cs="Arial"/>
          <w:sz w:val="22"/>
          <w:szCs w:val="22"/>
        </w:rPr>
        <w:t>”</w:t>
      </w:r>
      <w:r w:rsidR="00BF2042" w:rsidRPr="00A4399B">
        <w:rPr>
          <w:rFonts w:ascii="Arial" w:hAnsi="Arial" w:cs="Arial"/>
          <w:sz w:val="22"/>
          <w:szCs w:val="22"/>
        </w:rPr>
        <w:t>, that he was unable to leave the UK</w:t>
      </w:r>
      <w:r w:rsidR="009B38E8" w:rsidRPr="00A4399B">
        <w:rPr>
          <w:rFonts w:ascii="Arial" w:hAnsi="Arial" w:cs="Arial"/>
          <w:sz w:val="22"/>
          <w:szCs w:val="22"/>
        </w:rPr>
        <w:t xml:space="preserve"> </w:t>
      </w:r>
      <w:r w:rsidR="00822A55" w:rsidRPr="00A4399B">
        <w:rPr>
          <w:rFonts w:ascii="Arial" w:hAnsi="Arial" w:cs="Arial"/>
          <w:sz w:val="22"/>
          <w:szCs w:val="22"/>
        </w:rPr>
        <w:t>owing to</w:t>
      </w:r>
      <w:r w:rsidR="009B38E8" w:rsidRPr="00A4399B">
        <w:rPr>
          <w:rFonts w:ascii="Arial" w:hAnsi="Arial" w:cs="Arial"/>
          <w:sz w:val="22"/>
          <w:szCs w:val="22"/>
        </w:rPr>
        <w:t xml:space="preserve"> travel restrictions </w:t>
      </w:r>
      <w:r w:rsidR="00094C48" w:rsidRPr="00A4399B">
        <w:rPr>
          <w:rFonts w:ascii="Arial" w:hAnsi="Arial" w:cs="Arial"/>
          <w:sz w:val="22"/>
          <w:szCs w:val="22"/>
        </w:rPr>
        <w:t xml:space="preserve">imposed </w:t>
      </w:r>
      <w:r w:rsidR="00BB124E" w:rsidRPr="00A4399B">
        <w:rPr>
          <w:rFonts w:ascii="Arial" w:hAnsi="Arial" w:cs="Arial"/>
          <w:sz w:val="22"/>
          <w:szCs w:val="22"/>
        </w:rPr>
        <w:t>in the</w:t>
      </w:r>
      <w:r w:rsidR="00094C48" w:rsidRPr="00A4399B">
        <w:rPr>
          <w:rFonts w:ascii="Arial" w:hAnsi="Arial" w:cs="Arial"/>
          <w:sz w:val="22"/>
          <w:szCs w:val="22"/>
        </w:rPr>
        <w:t xml:space="preserve"> pandemic </w:t>
      </w:r>
      <w:r w:rsidR="00BB124E" w:rsidRPr="00A4399B">
        <w:rPr>
          <w:rFonts w:ascii="Arial" w:hAnsi="Arial" w:cs="Arial"/>
          <w:sz w:val="22"/>
          <w:szCs w:val="22"/>
        </w:rPr>
        <w:t>and</w:t>
      </w:r>
      <w:r w:rsidR="009B38E8" w:rsidRPr="00A4399B">
        <w:rPr>
          <w:rFonts w:ascii="Arial" w:hAnsi="Arial" w:cs="Arial"/>
          <w:sz w:val="22"/>
          <w:szCs w:val="22"/>
        </w:rPr>
        <w:t xml:space="preserve"> that he was entitled to support</w:t>
      </w:r>
      <w:r w:rsidR="0035007E" w:rsidRPr="00A4399B">
        <w:rPr>
          <w:rFonts w:ascii="Arial" w:hAnsi="Arial" w:cs="Arial"/>
          <w:sz w:val="22"/>
          <w:szCs w:val="22"/>
        </w:rPr>
        <w:t xml:space="preserve"> </w:t>
      </w:r>
      <w:r w:rsidR="0009314B" w:rsidRPr="00A4399B">
        <w:rPr>
          <w:rFonts w:ascii="Arial" w:hAnsi="Arial" w:cs="Arial"/>
          <w:sz w:val="22"/>
          <w:szCs w:val="22"/>
        </w:rPr>
        <w:t xml:space="preserve">to prevent a breach of </w:t>
      </w:r>
      <w:r w:rsidR="00D57EA5" w:rsidRPr="00A4399B">
        <w:rPr>
          <w:rFonts w:ascii="Arial" w:hAnsi="Arial" w:cs="Arial"/>
          <w:sz w:val="22"/>
          <w:szCs w:val="22"/>
        </w:rPr>
        <w:t xml:space="preserve">his </w:t>
      </w:r>
      <w:r w:rsidR="004712DA" w:rsidRPr="00A4399B">
        <w:rPr>
          <w:rFonts w:ascii="Arial" w:hAnsi="Arial" w:cs="Arial"/>
          <w:sz w:val="22"/>
          <w:szCs w:val="22"/>
        </w:rPr>
        <w:t xml:space="preserve">Convention rights </w:t>
      </w:r>
      <w:r w:rsidR="0035007E" w:rsidRPr="00A4399B">
        <w:rPr>
          <w:rFonts w:ascii="Arial" w:hAnsi="Arial" w:cs="Arial"/>
          <w:sz w:val="22"/>
          <w:szCs w:val="22"/>
        </w:rPr>
        <w:t>because he was street homeless</w:t>
      </w:r>
      <w:r w:rsidR="004712DA" w:rsidRPr="00A4399B">
        <w:rPr>
          <w:rFonts w:ascii="Arial" w:hAnsi="Arial" w:cs="Arial"/>
          <w:sz w:val="22"/>
          <w:szCs w:val="22"/>
        </w:rPr>
        <w:t>.</w:t>
      </w:r>
    </w:p>
    <w:p w14:paraId="2D8BE550" w14:textId="77777777" w:rsidR="002208BB" w:rsidRPr="00A4399B" w:rsidRDefault="002208BB" w:rsidP="00083A70">
      <w:pPr>
        <w:tabs>
          <w:tab w:val="num" w:pos="720"/>
        </w:tabs>
        <w:jc w:val="both"/>
        <w:rPr>
          <w:rFonts w:ascii="Arial" w:hAnsi="Arial" w:cs="Arial"/>
          <w:sz w:val="24"/>
          <w:szCs w:val="24"/>
        </w:rPr>
      </w:pPr>
    </w:p>
    <w:p w14:paraId="493453FE" w14:textId="58FB3549" w:rsidR="005C3ADD" w:rsidRPr="00A4399B" w:rsidRDefault="00EB7BCD" w:rsidP="00CD2A79">
      <w:pPr>
        <w:numPr>
          <w:ilvl w:val="0"/>
          <w:numId w:val="3"/>
        </w:numPr>
        <w:tabs>
          <w:tab w:val="num" w:pos="0"/>
          <w:tab w:val="num" w:pos="567"/>
        </w:tabs>
        <w:autoSpaceDE w:val="0"/>
        <w:autoSpaceDN w:val="0"/>
        <w:adjustRightInd w:val="0"/>
        <w:ind w:left="0" w:firstLine="0"/>
        <w:jc w:val="both"/>
        <w:rPr>
          <w:rFonts w:ascii="Arial" w:hAnsi="Arial" w:cs="Arial"/>
          <w:sz w:val="22"/>
          <w:szCs w:val="22"/>
        </w:rPr>
      </w:pPr>
      <w:r w:rsidRPr="00A4399B">
        <w:rPr>
          <w:rFonts w:ascii="Arial" w:hAnsi="Arial" w:cs="Arial"/>
          <w:sz w:val="22"/>
          <w:szCs w:val="22"/>
        </w:rPr>
        <w:t xml:space="preserve">According to Home Office records, </w:t>
      </w:r>
      <w:r w:rsidR="00EE1DD2" w:rsidRPr="00A4399B">
        <w:rPr>
          <w:rFonts w:ascii="Arial" w:hAnsi="Arial" w:cs="Arial"/>
          <w:sz w:val="22"/>
          <w:szCs w:val="22"/>
        </w:rPr>
        <w:t xml:space="preserve">the appellant </w:t>
      </w:r>
      <w:r w:rsidRPr="00A4399B">
        <w:rPr>
          <w:rFonts w:ascii="Arial" w:hAnsi="Arial" w:cs="Arial"/>
          <w:sz w:val="22"/>
          <w:szCs w:val="22"/>
        </w:rPr>
        <w:t>had nothing outstanding on his asylum claim.</w:t>
      </w:r>
      <w:r w:rsidR="00370684" w:rsidRPr="00A4399B">
        <w:rPr>
          <w:rFonts w:ascii="Arial" w:hAnsi="Arial" w:cs="Arial"/>
          <w:sz w:val="22"/>
          <w:szCs w:val="22"/>
        </w:rPr>
        <w:t xml:space="preserve"> The </w:t>
      </w:r>
      <w:r w:rsidR="009914B4">
        <w:rPr>
          <w:rFonts w:ascii="Arial" w:hAnsi="Arial" w:cs="Arial"/>
          <w:sz w:val="22"/>
          <w:szCs w:val="22"/>
        </w:rPr>
        <w:t>SSHD</w:t>
      </w:r>
      <w:r w:rsidR="00370684" w:rsidRPr="00A4399B">
        <w:rPr>
          <w:rFonts w:ascii="Arial" w:hAnsi="Arial" w:cs="Arial"/>
          <w:sz w:val="22"/>
          <w:szCs w:val="22"/>
        </w:rPr>
        <w:t xml:space="preserve"> </w:t>
      </w:r>
      <w:r w:rsidR="004E6D66" w:rsidRPr="00A4399B">
        <w:rPr>
          <w:rFonts w:ascii="Arial" w:hAnsi="Arial" w:cs="Arial"/>
          <w:sz w:val="22"/>
          <w:szCs w:val="22"/>
        </w:rPr>
        <w:t>did not accept</w:t>
      </w:r>
      <w:r w:rsidR="003616BA" w:rsidRPr="00A4399B">
        <w:rPr>
          <w:rFonts w:ascii="Arial" w:hAnsi="Arial" w:cs="Arial"/>
          <w:sz w:val="22"/>
          <w:szCs w:val="22"/>
        </w:rPr>
        <w:t xml:space="preserve"> that</w:t>
      </w:r>
      <w:r w:rsidR="00597043" w:rsidRPr="00A4399B">
        <w:rPr>
          <w:rFonts w:ascii="Arial" w:hAnsi="Arial" w:cs="Arial"/>
          <w:sz w:val="22"/>
          <w:szCs w:val="22"/>
        </w:rPr>
        <w:t xml:space="preserve"> </w:t>
      </w:r>
      <w:r w:rsidR="00182408" w:rsidRPr="00A4399B">
        <w:rPr>
          <w:rFonts w:ascii="Arial" w:hAnsi="Arial" w:cs="Arial"/>
          <w:sz w:val="22"/>
          <w:szCs w:val="22"/>
        </w:rPr>
        <w:t xml:space="preserve">the possibility </w:t>
      </w:r>
      <w:r w:rsidR="00083A70" w:rsidRPr="00A4399B">
        <w:rPr>
          <w:rFonts w:ascii="Arial" w:hAnsi="Arial" w:cs="Arial"/>
          <w:sz w:val="22"/>
          <w:szCs w:val="22"/>
        </w:rPr>
        <w:t xml:space="preserve">of forthcoming </w:t>
      </w:r>
      <w:r w:rsidR="001E009F" w:rsidRPr="00A4399B">
        <w:rPr>
          <w:rFonts w:ascii="Arial" w:hAnsi="Arial" w:cs="Arial"/>
          <w:sz w:val="22"/>
          <w:szCs w:val="22"/>
        </w:rPr>
        <w:t>f</w:t>
      </w:r>
      <w:r w:rsidR="00597043" w:rsidRPr="00A4399B">
        <w:rPr>
          <w:rFonts w:ascii="Arial" w:hAnsi="Arial" w:cs="Arial"/>
          <w:sz w:val="22"/>
          <w:szCs w:val="22"/>
        </w:rPr>
        <w:t xml:space="preserve">urther </w:t>
      </w:r>
      <w:r w:rsidR="001E009F" w:rsidRPr="00A4399B">
        <w:rPr>
          <w:rFonts w:ascii="Arial" w:hAnsi="Arial" w:cs="Arial"/>
          <w:sz w:val="22"/>
          <w:szCs w:val="22"/>
        </w:rPr>
        <w:t>s</w:t>
      </w:r>
      <w:r w:rsidR="00597043" w:rsidRPr="00A4399B">
        <w:rPr>
          <w:rFonts w:ascii="Arial" w:hAnsi="Arial" w:cs="Arial"/>
          <w:sz w:val="22"/>
          <w:szCs w:val="22"/>
        </w:rPr>
        <w:t>ubmissions</w:t>
      </w:r>
      <w:r w:rsidR="00B23C2B" w:rsidRPr="00A4399B">
        <w:rPr>
          <w:rFonts w:ascii="Arial" w:hAnsi="Arial" w:cs="Arial"/>
          <w:sz w:val="22"/>
          <w:szCs w:val="22"/>
        </w:rPr>
        <w:t xml:space="preserve"> could satisfy</w:t>
      </w:r>
      <w:r w:rsidR="00764E09" w:rsidRPr="00A4399B">
        <w:rPr>
          <w:rFonts w:ascii="Arial" w:hAnsi="Arial" w:cs="Arial"/>
          <w:sz w:val="22"/>
          <w:szCs w:val="22"/>
        </w:rPr>
        <w:t xml:space="preserve"> the requirements of regulation 3(2)(e)</w:t>
      </w:r>
      <w:r w:rsidR="003616BA" w:rsidRPr="00A4399B">
        <w:rPr>
          <w:rFonts w:ascii="Arial" w:hAnsi="Arial" w:cs="Arial"/>
          <w:sz w:val="22"/>
          <w:szCs w:val="22"/>
        </w:rPr>
        <w:t xml:space="preserve">. </w:t>
      </w:r>
      <w:r w:rsidR="004F34E2" w:rsidRPr="00A4399B">
        <w:rPr>
          <w:rFonts w:ascii="Arial" w:hAnsi="Arial" w:cs="Arial"/>
          <w:sz w:val="22"/>
          <w:szCs w:val="22"/>
        </w:rPr>
        <w:t>Subsequently,</w:t>
      </w:r>
      <w:r w:rsidR="00B23C2B" w:rsidRPr="00A4399B">
        <w:rPr>
          <w:rFonts w:ascii="Arial" w:hAnsi="Arial" w:cs="Arial"/>
          <w:sz w:val="22"/>
          <w:szCs w:val="22"/>
        </w:rPr>
        <w:t xml:space="preserve"> </w:t>
      </w:r>
      <w:r w:rsidR="00E20160" w:rsidRPr="00A4399B">
        <w:rPr>
          <w:rFonts w:ascii="Arial" w:hAnsi="Arial" w:cs="Arial"/>
          <w:sz w:val="22"/>
          <w:szCs w:val="22"/>
        </w:rPr>
        <w:t>on</w:t>
      </w:r>
      <w:r w:rsidR="00FB5695" w:rsidRPr="00A4399B">
        <w:rPr>
          <w:rFonts w:ascii="Arial" w:hAnsi="Arial" w:cs="Arial"/>
          <w:sz w:val="22"/>
          <w:szCs w:val="22"/>
        </w:rPr>
        <w:t xml:space="preserve"> </w:t>
      </w:r>
      <w:r w:rsidR="00E20160" w:rsidRPr="00A4399B">
        <w:rPr>
          <w:rFonts w:ascii="Arial" w:hAnsi="Arial" w:cs="Arial"/>
          <w:sz w:val="22"/>
          <w:szCs w:val="22"/>
        </w:rPr>
        <w:t>3</w:t>
      </w:r>
      <w:r w:rsidR="00FB5695" w:rsidRPr="00A4399B">
        <w:rPr>
          <w:rFonts w:ascii="Arial" w:hAnsi="Arial" w:cs="Arial"/>
          <w:sz w:val="22"/>
          <w:szCs w:val="22"/>
        </w:rPr>
        <w:t xml:space="preserve"> March 202</w:t>
      </w:r>
      <w:r w:rsidR="0038403F" w:rsidRPr="00A4399B">
        <w:rPr>
          <w:rFonts w:ascii="Arial" w:hAnsi="Arial" w:cs="Arial"/>
          <w:sz w:val="22"/>
          <w:szCs w:val="22"/>
        </w:rPr>
        <w:t>1</w:t>
      </w:r>
      <w:r w:rsidR="00FB5695" w:rsidRPr="00A4399B">
        <w:rPr>
          <w:rFonts w:ascii="Arial" w:hAnsi="Arial" w:cs="Arial"/>
          <w:sz w:val="22"/>
          <w:szCs w:val="22"/>
        </w:rPr>
        <w:t xml:space="preserve">, </w:t>
      </w:r>
      <w:r w:rsidR="00B637D7" w:rsidRPr="00A4399B">
        <w:rPr>
          <w:rFonts w:ascii="Arial" w:hAnsi="Arial" w:cs="Arial"/>
          <w:sz w:val="22"/>
          <w:szCs w:val="22"/>
        </w:rPr>
        <w:t xml:space="preserve">the </w:t>
      </w:r>
      <w:r w:rsidR="00784E8C" w:rsidRPr="00A4399B">
        <w:rPr>
          <w:rFonts w:ascii="Arial" w:hAnsi="Arial" w:cs="Arial"/>
          <w:sz w:val="22"/>
          <w:szCs w:val="22"/>
        </w:rPr>
        <w:t xml:space="preserve">SSHD accepted the </w:t>
      </w:r>
      <w:r w:rsidR="00B637D7" w:rsidRPr="00A4399B">
        <w:rPr>
          <w:rFonts w:ascii="Arial" w:hAnsi="Arial" w:cs="Arial"/>
          <w:sz w:val="22"/>
          <w:szCs w:val="22"/>
        </w:rPr>
        <w:t>appellant’s destitution</w:t>
      </w:r>
      <w:r w:rsidR="00784E8C" w:rsidRPr="00A4399B">
        <w:rPr>
          <w:rFonts w:ascii="Arial" w:hAnsi="Arial" w:cs="Arial"/>
          <w:sz w:val="22"/>
          <w:szCs w:val="22"/>
        </w:rPr>
        <w:t>.</w:t>
      </w:r>
      <w:bookmarkEnd w:id="3"/>
    </w:p>
    <w:p w14:paraId="1D616465" w14:textId="77777777" w:rsidR="00E14379" w:rsidRPr="00A4399B" w:rsidRDefault="00E14379" w:rsidP="000955F8">
      <w:pPr>
        <w:autoSpaceDE w:val="0"/>
        <w:autoSpaceDN w:val="0"/>
        <w:adjustRightInd w:val="0"/>
        <w:rPr>
          <w:rFonts w:ascii="Arial Black" w:hAnsi="Arial Black" w:cs="Arial"/>
          <w:b/>
          <w:smallCaps/>
          <w:sz w:val="22"/>
          <w:szCs w:val="22"/>
        </w:rPr>
      </w:pPr>
    </w:p>
    <w:p w14:paraId="478598DD" w14:textId="76831249" w:rsidR="00E62E5E" w:rsidRPr="00A4399B" w:rsidRDefault="00782A86" w:rsidP="000955F8">
      <w:pPr>
        <w:autoSpaceDE w:val="0"/>
        <w:autoSpaceDN w:val="0"/>
        <w:adjustRightInd w:val="0"/>
        <w:rPr>
          <w:rFonts w:ascii="Arial" w:hAnsi="Arial" w:cs="Arial"/>
          <w:sz w:val="24"/>
          <w:szCs w:val="24"/>
        </w:rPr>
      </w:pPr>
      <w:r w:rsidRPr="00A4399B">
        <w:rPr>
          <w:rFonts w:ascii="Arial Black" w:hAnsi="Arial Black" w:cs="Arial"/>
          <w:b/>
          <w:smallCaps/>
          <w:sz w:val="22"/>
          <w:szCs w:val="22"/>
        </w:rPr>
        <w:lastRenderedPageBreak/>
        <w:t>Tribunal Directions</w:t>
      </w:r>
      <w:r w:rsidR="00273AF8" w:rsidRPr="00A4399B">
        <w:rPr>
          <w:rFonts w:ascii="Arial Black" w:hAnsi="Arial Black" w:cs="Arial"/>
          <w:b/>
          <w:smallCaps/>
          <w:sz w:val="22"/>
          <w:szCs w:val="22"/>
        </w:rPr>
        <w:t xml:space="preserve"> of 2 March 2021 (the First Directions)</w:t>
      </w:r>
    </w:p>
    <w:p w14:paraId="4EAD2CFA" w14:textId="77777777" w:rsidR="003D33CB" w:rsidRPr="00A4399B" w:rsidRDefault="003D33CB" w:rsidP="003D33CB">
      <w:pPr>
        <w:tabs>
          <w:tab w:val="num" w:pos="0"/>
          <w:tab w:val="num" w:pos="567"/>
        </w:tabs>
        <w:jc w:val="both"/>
        <w:rPr>
          <w:rFonts w:ascii="Arial" w:hAnsi="Arial" w:cs="Arial"/>
          <w:smallCaps/>
          <w:sz w:val="22"/>
          <w:szCs w:val="22"/>
        </w:rPr>
      </w:pPr>
    </w:p>
    <w:p w14:paraId="52B9495D" w14:textId="073CD72F" w:rsidR="001566FA" w:rsidRPr="00A4399B" w:rsidRDefault="00C3460D" w:rsidP="002027EA">
      <w:pPr>
        <w:numPr>
          <w:ilvl w:val="0"/>
          <w:numId w:val="3"/>
        </w:numPr>
        <w:tabs>
          <w:tab w:val="num" w:pos="0"/>
          <w:tab w:val="num" w:pos="567"/>
          <w:tab w:val="num" w:pos="851"/>
        </w:tabs>
        <w:ind w:left="0" w:firstLine="0"/>
        <w:contextualSpacing/>
        <w:jc w:val="both"/>
        <w:rPr>
          <w:rFonts w:ascii="Arial" w:hAnsi="Arial" w:cs="Arial"/>
          <w:sz w:val="22"/>
          <w:szCs w:val="22"/>
          <w:lang w:val="en-US"/>
        </w:rPr>
      </w:pPr>
      <w:r w:rsidRPr="00A4399B">
        <w:rPr>
          <w:rFonts w:ascii="Arial" w:hAnsi="Arial" w:cs="Arial"/>
          <w:sz w:val="22"/>
          <w:szCs w:val="22"/>
        </w:rPr>
        <w:t xml:space="preserve">On 2 March 2020, the Tribunal </w:t>
      </w:r>
      <w:r w:rsidR="00CD68BA" w:rsidRPr="00A4399B">
        <w:rPr>
          <w:rFonts w:ascii="Arial" w:hAnsi="Arial" w:cs="Arial"/>
          <w:sz w:val="22"/>
          <w:szCs w:val="22"/>
        </w:rPr>
        <w:t>issued</w:t>
      </w:r>
      <w:r w:rsidRPr="00A4399B">
        <w:rPr>
          <w:rFonts w:ascii="Arial" w:hAnsi="Arial" w:cs="Arial"/>
          <w:sz w:val="22"/>
          <w:szCs w:val="22"/>
        </w:rPr>
        <w:t xml:space="preserve"> </w:t>
      </w:r>
      <w:r w:rsidR="00CD68BA" w:rsidRPr="00A4399B">
        <w:rPr>
          <w:rFonts w:ascii="Arial" w:hAnsi="Arial" w:cs="Arial"/>
          <w:sz w:val="22"/>
          <w:szCs w:val="22"/>
        </w:rPr>
        <w:t xml:space="preserve">case management directions to both parties in which </w:t>
      </w:r>
      <w:r w:rsidR="00642CC5" w:rsidRPr="00A4399B">
        <w:rPr>
          <w:rFonts w:ascii="Arial" w:hAnsi="Arial" w:cs="Arial"/>
          <w:sz w:val="22"/>
          <w:szCs w:val="22"/>
        </w:rPr>
        <w:t xml:space="preserve">the appellant </w:t>
      </w:r>
      <w:r w:rsidR="00640D11" w:rsidRPr="00A4399B">
        <w:rPr>
          <w:rFonts w:ascii="Arial" w:hAnsi="Arial" w:cs="Arial"/>
          <w:sz w:val="22"/>
          <w:szCs w:val="22"/>
        </w:rPr>
        <w:t>was directed to provide</w:t>
      </w:r>
      <w:r w:rsidR="003E2686" w:rsidRPr="00A4399B">
        <w:rPr>
          <w:rFonts w:ascii="Arial" w:hAnsi="Arial" w:cs="Arial"/>
          <w:sz w:val="22"/>
          <w:szCs w:val="22"/>
        </w:rPr>
        <w:t xml:space="preserve"> a </w:t>
      </w:r>
      <w:r w:rsidR="00391540" w:rsidRPr="00A4399B">
        <w:rPr>
          <w:rFonts w:ascii="Arial" w:hAnsi="Arial" w:cs="Arial"/>
          <w:sz w:val="22"/>
          <w:szCs w:val="22"/>
          <w:lang w:val="en-US"/>
        </w:rPr>
        <w:t xml:space="preserve">copy of </w:t>
      </w:r>
      <w:r w:rsidR="002870E5" w:rsidRPr="00A4399B">
        <w:rPr>
          <w:rFonts w:ascii="Arial" w:hAnsi="Arial" w:cs="Arial"/>
          <w:sz w:val="22"/>
          <w:szCs w:val="22"/>
          <w:lang w:val="en-US"/>
        </w:rPr>
        <w:t>his</w:t>
      </w:r>
      <w:r w:rsidR="00391540" w:rsidRPr="00A4399B">
        <w:rPr>
          <w:rFonts w:ascii="Arial" w:hAnsi="Arial" w:cs="Arial"/>
          <w:sz w:val="22"/>
          <w:szCs w:val="22"/>
          <w:lang w:val="en-US"/>
        </w:rPr>
        <w:t xml:space="preserve"> further submissions </w:t>
      </w:r>
      <w:r w:rsidR="002870E5" w:rsidRPr="00A4399B">
        <w:rPr>
          <w:rFonts w:ascii="Arial" w:hAnsi="Arial" w:cs="Arial"/>
          <w:sz w:val="22"/>
          <w:szCs w:val="22"/>
          <w:lang w:val="en-US"/>
        </w:rPr>
        <w:t>made</w:t>
      </w:r>
      <w:r w:rsidR="00000C83" w:rsidRPr="00A4399B">
        <w:rPr>
          <w:rFonts w:ascii="Arial" w:hAnsi="Arial" w:cs="Arial"/>
          <w:sz w:val="22"/>
          <w:szCs w:val="22"/>
          <w:lang w:val="en-US"/>
        </w:rPr>
        <w:t xml:space="preserve"> to the respondent</w:t>
      </w:r>
      <w:r w:rsidR="00C66833" w:rsidRPr="00A4399B">
        <w:rPr>
          <w:rFonts w:ascii="Arial" w:hAnsi="Arial" w:cs="Arial"/>
          <w:sz w:val="22"/>
          <w:szCs w:val="22"/>
          <w:lang w:val="en-US"/>
        </w:rPr>
        <w:t>,</w:t>
      </w:r>
      <w:r w:rsidR="00000C83" w:rsidRPr="00A4399B">
        <w:rPr>
          <w:rFonts w:ascii="Arial" w:hAnsi="Arial" w:cs="Arial"/>
          <w:sz w:val="22"/>
          <w:szCs w:val="22"/>
          <w:lang w:val="en-US"/>
        </w:rPr>
        <w:t xml:space="preserve"> or alternatively, </w:t>
      </w:r>
      <w:r w:rsidR="000473E8" w:rsidRPr="00A4399B">
        <w:rPr>
          <w:rFonts w:ascii="Arial" w:hAnsi="Arial" w:cs="Arial"/>
          <w:sz w:val="22"/>
          <w:szCs w:val="22"/>
          <w:lang w:val="en-US"/>
        </w:rPr>
        <w:t xml:space="preserve">if they </w:t>
      </w:r>
      <w:r w:rsidR="008D1F0E" w:rsidRPr="00A4399B">
        <w:rPr>
          <w:rFonts w:ascii="Arial" w:hAnsi="Arial" w:cs="Arial"/>
          <w:sz w:val="22"/>
          <w:szCs w:val="22"/>
          <w:lang w:val="en-US"/>
        </w:rPr>
        <w:t>had not yet been submitted</w:t>
      </w:r>
      <w:r w:rsidR="00C66833" w:rsidRPr="00A4399B">
        <w:rPr>
          <w:rFonts w:ascii="Arial" w:hAnsi="Arial" w:cs="Arial"/>
          <w:sz w:val="22"/>
          <w:szCs w:val="22"/>
          <w:lang w:val="en-US"/>
        </w:rPr>
        <w:t>,</w:t>
      </w:r>
      <w:r w:rsidR="008D1F0E" w:rsidRPr="00A4399B">
        <w:rPr>
          <w:rFonts w:ascii="Arial" w:hAnsi="Arial" w:cs="Arial"/>
          <w:sz w:val="22"/>
          <w:szCs w:val="22"/>
          <w:lang w:val="en-US"/>
        </w:rPr>
        <w:t xml:space="preserve"> to provide </w:t>
      </w:r>
      <w:r w:rsidR="00000C83" w:rsidRPr="00A4399B">
        <w:rPr>
          <w:rFonts w:ascii="Arial" w:hAnsi="Arial" w:cs="Arial"/>
          <w:sz w:val="22"/>
          <w:szCs w:val="22"/>
          <w:lang w:val="en-US"/>
        </w:rPr>
        <w:t>e</w:t>
      </w:r>
      <w:r w:rsidR="00391540" w:rsidRPr="00A4399B">
        <w:rPr>
          <w:rFonts w:ascii="Arial" w:hAnsi="Arial" w:cs="Arial"/>
          <w:sz w:val="22"/>
          <w:szCs w:val="22"/>
          <w:lang w:val="en-US"/>
        </w:rPr>
        <w:t xml:space="preserve">vidence from </w:t>
      </w:r>
      <w:r w:rsidR="00000C83" w:rsidRPr="00A4399B">
        <w:rPr>
          <w:rFonts w:ascii="Arial" w:hAnsi="Arial" w:cs="Arial"/>
          <w:sz w:val="22"/>
          <w:szCs w:val="22"/>
          <w:lang w:val="en-US"/>
        </w:rPr>
        <w:t>his</w:t>
      </w:r>
      <w:r w:rsidR="00391540" w:rsidRPr="00A4399B">
        <w:rPr>
          <w:rFonts w:ascii="Arial" w:hAnsi="Arial" w:cs="Arial"/>
          <w:sz w:val="22"/>
          <w:szCs w:val="22"/>
          <w:lang w:val="en-US"/>
        </w:rPr>
        <w:t xml:space="preserve"> solicitor </w:t>
      </w:r>
      <w:r w:rsidR="00000C83" w:rsidRPr="00A4399B">
        <w:rPr>
          <w:rFonts w:ascii="Arial" w:hAnsi="Arial" w:cs="Arial"/>
          <w:sz w:val="22"/>
          <w:szCs w:val="22"/>
          <w:lang w:val="en-US"/>
        </w:rPr>
        <w:t xml:space="preserve">explaining </w:t>
      </w:r>
      <w:r w:rsidR="00391540" w:rsidRPr="00A4399B">
        <w:rPr>
          <w:rFonts w:ascii="Arial" w:hAnsi="Arial" w:cs="Arial"/>
          <w:sz w:val="22"/>
          <w:szCs w:val="22"/>
          <w:lang w:val="en-US"/>
        </w:rPr>
        <w:t xml:space="preserve">the substance </w:t>
      </w:r>
      <w:r w:rsidR="008D1F0E" w:rsidRPr="00A4399B">
        <w:rPr>
          <w:rFonts w:ascii="Arial" w:hAnsi="Arial" w:cs="Arial"/>
          <w:sz w:val="22"/>
          <w:szCs w:val="22"/>
          <w:lang w:val="en-US"/>
        </w:rPr>
        <w:t xml:space="preserve">of the </w:t>
      </w:r>
      <w:r w:rsidR="00391540" w:rsidRPr="00A4399B">
        <w:rPr>
          <w:rFonts w:ascii="Arial" w:hAnsi="Arial" w:cs="Arial"/>
          <w:sz w:val="22"/>
          <w:szCs w:val="22"/>
          <w:lang w:val="en-US"/>
        </w:rPr>
        <w:t>further submissions</w:t>
      </w:r>
      <w:r w:rsidR="008D1F0E" w:rsidRPr="00A4399B">
        <w:rPr>
          <w:rFonts w:ascii="Arial" w:hAnsi="Arial" w:cs="Arial"/>
          <w:sz w:val="22"/>
          <w:szCs w:val="22"/>
          <w:lang w:val="en-US"/>
        </w:rPr>
        <w:t xml:space="preserve"> to be made</w:t>
      </w:r>
      <w:r w:rsidR="00C66833" w:rsidRPr="00A4399B">
        <w:rPr>
          <w:rFonts w:ascii="Arial" w:hAnsi="Arial" w:cs="Arial"/>
          <w:sz w:val="22"/>
          <w:szCs w:val="22"/>
          <w:lang w:val="en-US"/>
        </w:rPr>
        <w:t xml:space="preserve">. </w:t>
      </w:r>
    </w:p>
    <w:p w14:paraId="250F0B0A" w14:textId="77777777" w:rsidR="001566FA" w:rsidRPr="00A4399B" w:rsidRDefault="001566FA" w:rsidP="005210E6">
      <w:pPr>
        <w:tabs>
          <w:tab w:val="num" w:pos="720"/>
          <w:tab w:val="num" w:pos="851"/>
        </w:tabs>
        <w:contextualSpacing/>
        <w:jc w:val="both"/>
        <w:rPr>
          <w:rFonts w:ascii="Arial" w:hAnsi="Arial" w:cs="Arial"/>
          <w:sz w:val="22"/>
          <w:szCs w:val="22"/>
          <w:lang w:val="en-US"/>
        </w:rPr>
      </w:pPr>
    </w:p>
    <w:p w14:paraId="27ADE76C" w14:textId="45C79887" w:rsidR="006256F8" w:rsidRPr="00A4399B" w:rsidRDefault="003637E0" w:rsidP="002027EA">
      <w:pPr>
        <w:numPr>
          <w:ilvl w:val="0"/>
          <w:numId w:val="3"/>
        </w:numPr>
        <w:tabs>
          <w:tab w:val="num" w:pos="0"/>
          <w:tab w:val="num" w:pos="567"/>
          <w:tab w:val="num" w:pos="851"/>
        </w:tabs>
        <w:ind w:left="0" w:firstLine="0"/>
        <w:contextualSpacing/>
        <w:jc w:val="both"/>
        <w:rPr>
          <w:rFonts w:ascii="Arial" w:hAnsi="Arial" w:cs="Arial"/>
          <w:sz w:val="22"/>
          <w:szCs w:val="22"/>
          <w:lang w:val="en-US"/>
        </w:rPr>
      </w:pPr>
      <w:r w:rsidRPr="00A4399B">
        <w:rPr>
          <w:rFonts w:ascii="Arial" w:hAnsi="Arial" w:cs="Arial"/>
          <w:sz w:val="22"/>
          <w:szCs w:val="22"/>
          <w:lang w:val="en-US"/>
        </w:rPr>
        <w:t xml:space="preserve">The respondent was directed to </w:t>
      </w:r>
      <w:r w:rsidR="002027EA" w:rsidRPr="00A4399B">
        <w:rPr>
          <w:rFonts w:ascii="Arial" w:hAnsi="Arial" w:cs="Arial"/>
          <w:sz w:val="22"/>
          <w:szCs w:val="22"/>
          <w:lang w:val="en-US"/>
        </w:rPr>
        <w:t xml:space="preserve">make written submissions </w:t>
      </w:r>
      <w:r w:rsidR="00391540" w:rsidRPr="00A4399B">
        <w:rPr>
          <w:rFonts w:ascii="Arial" w:hAnsi="Arial" w:cs="Arial"/>
          <w:sz w:val="22"/>
          <w:szCs w:val="22"/>
        </w:rPr>
        <w:t>addressing</w:t>
      </w:r>
      <w:r w:rsidR="00CE5830" w:rsidRPr="00A4399B">
        <w:rPr>
          <w:rFonts w:ascii="Arial" w:hAnsi="Arial" w:cs="Arial"/>
          <w:sz w:val="22"/>
          <w:szCs w:val="22"/>
        </w:rPr>
        <w:t xml:space="preserve"> the </w:t>
      </w:r>
      <w:r w:rsidR="00CE5830" w:rsidRPr="00A4399B">
        <w:rPr>
          <w:rFonts w:ascii="Arial" w:hAnsi="Arial" w:cs="Arial"/>
          <w:sz w:val="22"/>
          <w:szCs w:val="22"/>
          <w:lang w:val="en-US"/>
        </w:rPr>
        <w:t xml:space="preserve">Principal Judge’s </w:t>
      </w:r>
      <w:r w:rsidR="002D1BE6" w:rsidRPr="00A4399B">
        <w:rPr>
          <w:rFonts w:ascii="Arial" w:hAnsi="Arial" w:cs="Arial"/>
          <w:sz w:val="22"/>
          <w:szCs w:val="22"/>
          <w:lang w:val="en-US"/>
        </w:rPr>
        <w:t>decisions</w:t>
      </w:r>
      <w:r w:rsidR="00CE5830" w:rsidRPr="00A4399B">
        <w:rPr>
          <w:rFonts w:ascii="Arial" w:hAnsi="Arial" w:cs="Arial"/>
          <w:sz w:val="22"/>
          <w:szCs w:val="22"/>
          <w:lang w:val="en-US"/>
        </w:rPr>
        <w:t xml:space="preserve"> in </w:t>
      </w:r>
      <w:r w:rsidR="001C1A5D" w:rsidRPr="00A4399B">
        <w:rPr>
          <w:rFonts w:ascii="Arial" w:hAnsi="Arial" w:cs="Arial"/>
          <w:i/>
          <w:sz w:val="22"/>
          <w:szCs w:val="22"/>
          <w:lang w:val="en-US"/>
        </w:rPr>
        <w:t>PA and MA</w:t>
      </w:r>
      <w:r w:rsidR="00B7447E" w:rsidRPr="00A4399B">
        <w:rPr>
          <w:rFonts w:ascii="Arial" w:hAnsi="Arial" w:cs="Arial"/>
          <w:sz w:val="22"/>
          <w:szCs w:val="22"/>
          <w:lang w:val="en-US"/>
        </w:rPr>
        <w:t xml:space="preserve"> </w:t>
      </w:r>
      <w:r w:rsidR="004D7840" w:rsidRPr="00A4399B">
        <w:rPr>
          <w:rFonts w:ascii="Arial" w:hAnsi="Arial" w:cs="Arial"/>
          <w:sz w:val="22"/>
          <w:szCs w:val="22"/>
        </w:rPr>
        <w:t xml:space="preserve">and </w:t>
      </w:r>
      <w:r w:rsidR="003D3C78" w:rsidRPr="00A4399B">
        <w:rPr>
          <w:rFonts w:ascii="Arial" w:hAnsi="Arial" w:cs="Arial"/>
          <w:sz w:val="22"/>
          <w:szCs w:val="22"/>
        </w:rPr>
        <w:t>specifically</w:t>
      </w:r>
      <w:r w:rsidR="00DE293F" w:rsidRPr="00A4399B">
        <w:rPr>
          <w:rFonts w:ascii="Arial" w:hAnsi="Arial" w:cs="Arial"/>
          <w:sz w:val="22"/>
          <w:szCs w:val="22"/>
        </w:rPr>
        <w:t xml:space="preserve"> to address</w:t>
      </w:r>
      <w:r w:rsidR="003D3C78" w:rsidRPr="00A4399B">
        <w:rPr>
          <w:rFonts w:ascii="Arial" w:hAnsi="Arial" w:cs="Arial"/>
          <w:sz w:val="22"/>
          <w:szCs w:val="22"/>
        </w:rPr>
        <w:t xml:space="preserve"> </w:t>
      </w:r>
      <w:r w:rsidR="004D7840" w:rsidRPr="00A4399B">
        <w:rPr>
          <w:rFonts w:ascii="Arial" w:hAnsi="Arial" w:cs="Arial"/>
          <w:sz w:val="22"/>
          <w:szCs w:val="22"/>
        </w:rPr>
        <w:t>why</w:t>
      </w:r>
      <w:r w:rsidR="000D7AD5" w:rsidRPr="00A4399B">
        <w:rPr>
          <w:rFonts w:ascii="Arial" w:hAnsi="Arial" w:cs="Arial"/>
          <w:sz w:val="22"/>
          <w:szCs w:val="22"/>
        </w:rPr>
        <w:t xml:space="preserve"> the </w:t>
      </w:r>
      <w:r w:rsidR="004D7840" w:rsidRPr="00A4399B">
        <w:rPr>
          <w:rFonts w:ascii="Arial" w:hAnsi="Arial" w:cs="Arial"/>
          <w:sz w:val="22"/>
          <w:szCs w:val="22"/>
        </w:rPr>
        <w:t>reasoning</w:t>
      </w:r>
      <w:r w:rsidR="00B74B5D" w:rsidRPr="00A4399B">
        <w:rPr>
          <w:rFonts w:ascii="Arial" w:hAnsi="Arial" w:cs="Arial"/>
          <w:sz w:val="22"/>
          <w:szCs w:val="22"/>
        </w:rPr>
        <w:t xml:space="preserve"> in paragraph 48</w:t>
      </w:r>
      <w:r w:rsidR="00FF0214" w:rsidRPr="00A4399B">
        <w:rPr>
          <w:rFonts w:ascii="Arial" w:hAnsi="Arial" w:cs="Arial"/>
          <w:sz w:val="22"/>
          <w:szCs w:val="22"/>
        </w:rPr>
        <w:t>,</w:t>
      </w:r>
      <w:r w:rsidR="000D7AD5" w:rsidRPr="00A4399B">
        <w:rPr>
          <w:rFonts w:ascii="Arial" w:hAnsi="Arial" w:cs="Arial"/>
          <w:sz w:val="22"/>
          <w:szCs w:val="22"/>
        </w:rPr>
        <w:t xml:space="preserve"> </w:t>
      </w:r>
      <w:r w:rsidR="00FE3F74" w:rsidRPr="00A4399B">
        <w:rPr>
          <w:rFonts w:ascii="Arial" w:hAnsi="Arial" w:cs="Arial"/>
          <w:sz w:val="22"/>
          <w:szCs w:val="22"/>
        </w:rPr>
        <w:t xml:space="preserve">which </w:t>
      </w:r>
      <w:r w:rsidR="00F046A4" w:rsidRPr="00A4399B">
        <w:rPr>
          <w:rFonts w:ascii="Arial" w:hAnsi="Arial" w:cs="Arial"/>
          <w:sz w:val="22"/>
          <w:szCs w:val="22"/>
        </w:rPr>
        <w:t>concern</w:t>
      </w:r>
      <w:r w:rsidR="00FE3F74" w:rsidRPr="00A4399B">
        <w:rPr>
          <w:rFonts w:ascii="Arial" w:hAnsi="Arial" w:cs="Arial"/>
          <w:sz w:val="22"/>
          <w:szCs w:val="22"/>
        </w:rPr>
        <w:t>ed</w:t>
      </w:r>
      <w:r w:rsidR="00F046A4" w:rsidRPr="00A4399B">
        <w:rPr>
          <w:rFonts w:ascii="Arial" w:hAnsi="Arial" w:cs="Arial"/>
          <w:sz w:val="22"/>
          <w:szCs w:val="22"/>
        </w:rPr>
        <w:t xml:space="preserve"> </w:t>
      </w:r>
      <w:r w:rsidR="00D51643" w:rsidRPr="00A4399B">
        <w:rPr>
          <w:rFonts w:ascii="Arial" w:hAnsi="Arial" w:cs="Arial"/>
          <w:sz w:val="22"/>
          <w:szCs w:val="22"/>
        </w:rPr>
        <w:t xml:space="preserve">the eligibility requirement of </w:t>
      </w:r>
      <w:r w:rsidR="00B37F1B">
        <w:rPr>
          <w:rFonts w:ascii="Arial" w:hAnsi="Arial" w:cs="Arial"/>
          <w:sz w:val="22"/>
          <w:szCs w:val="22"/>
          <w:lang w:val="en-US"/>
        </w:rPr>
        <w:t>r</w:t>
      </w:r>
      <w:r w:rsidR="00D51643" w:rsidRPr="00A4399B">
        <w:rPr>
          <w:rFonts w:ascii="Arial" w:hAnsi="Arial" w:cs="Arial"/>
          <w:sz w:val="22"/>
          <w:szCs w:val="22"/>
          <w:lang w:val="en-US"/>
        </w:rPr>
        <w:t xml:space="preserve">egulation 3(2)(e) </w:t>
      </w:r>
      <w:r w:rsidR="004171B4" w:rsidRPr="00A4399B">
        <w:rPr>
          <w:rFonts w:ascii="Arial" w:hAnsi="Arial" w:cs="Arial"/>
          <w:sz w:val="22"/>
          <w:szCs w:val="22"/>
          <w:lang w:val="en-US"/>
        </w:rPr>
        <w:t xml:space="preserve">in cessation appeals </w:t>
      </w:r>
      <w:r w:rsidR="00D51643" w:rsidRPr="00A4399B">
        <w:rPr>
          <w:rFonts w:ascii="Arial" w:hAnsi="Arial" w:cs="Arial"/>
          <w:sz w:val="22"/>
          <w:szCs w:val="22"/>
          <w:lang w:val="en-US"/>
        </w:rPr>
        <w:t>during the C</w:t>
      </w:r>
      <w:r w:rsidR="006C5ED4" w:rsidRPr="00A4399B">
        <w:rPr>
          <w:rFonts w:ascii="Arial" w:hAnsi="Arial" w:cs="Arial"/>
          <w:sz w:val="22"/>
          <w:szCs w:val="22"/>
          <w:lang w:val="en-US"/>
        </w:rPr>
        <w:t>OVID</w:t>
      </w:r>
      <w:r w:rsidR="00802091" w:rsidRPr="00A4399B">
        <w:rPr>
          <w:rFonts w:ascii="Arial" w:hAnsi="Arial" w:cs="Arial"/>
          <w:sz w:val="22"/>
          <w:szCs w:val="22"/>
          <w:lang w:val="en-US"/>
        </w:rPr>
        <w:t>-</w:t>
      </w:r>
      <w:r w:rsidR="00D51643" w:rsidRPr="00A4399B">
        <w:rPr>
          <w:rFonts w:ascii="Arial" w:hAnsi="Arial" w:cs="Arial"/>
          <w:sz w:val="22"/>
          <w:szCs w:val="22"/>
          <w:lang w:val="en-US"/>
        </w:rPr>
        <w:t>19 pandemic</w:t>
      </w:r>
      <w:r w:rsidR="00FF0214" w:rsidRPr="00A4399B">
        <w:rPr>
          <w:rFonts w:ascii="Arial" w:hAnsi="Arial" w:cs="Arial"/>
          <w:sz w:val="22"/>
          <w:szCs w:val="22"/>
          <w:lang w:val="en-US"/>
        </w:rPr>
        <w:t>,</w:t>
      </w:r>
      <w:r w:rsidR="00D51643" w:rsidRPr="00A4399B">
        <w:rPr>
          <w:rFonts w:ascii="Arial" w:hAnsi="Arial" w:cs="Arial"/>
          <w:sz w:val="22"/>
          <w:szCs w:val="22"/>
          <w:lang w:val="en-US"/>
        </w:rPr>
        <w:t xml:space="preserve"> </w:t>
      </w:r>
      <w:r w:rsidR="00DE293F" w:rsidRPr="00A4399B">
        <w:rPr>
          <w:rFonts w:ascii="Arial" w:hAnsi="Arial" w:cs="Arial"/>
          <w:sz w:val="22"/>
          <w:szCs w:val="22"/>
        </w:rPr>
        <w:t>should not be applied</w:t>
      </w:r>
      <w:r w:rsidR="000D7AD5" w:rsidRPr="00A4399B">
        <w:rPr>
          <w:rFonts w:ascii="Arial" w:hAnsi="Arial" w:cs="Arial"/>
          <w:sz w:val="22"/>
          <w:szCs w:val="22"/>
        </w:rPr>
        <w:t xml:space="preserve"> equally to refusal decisions</w:t>
      </w:r>
      <w:r w:rsidR="00A10E55" w:rsidRPr="00A4399B">
        <w:rPr>
          <w:rFonts w:ascii="Arial" w:hAnsi="Arial" w:cs="Arial"/>
          <w:sz w:val="22"/>
          <w:szCs w:val="22"/>
        </w:rPr>
        <w:t>.</w:t>
      </w:r>
    </w:p>
    <w:p w14:paraId="62B186DD" w14:textId="77777777" w:rsidR="00E46CBD" w:rsidRPr="00A4399B" w:rsidRDefault="00E46CBD" w:rsidP="00E46CBD">
      <w:pPr>
        <w:tabs>
          <w:tab w:val="num" w:pos="720"/>
          <w:tab w:val="num" w:pos="851"/>
        </w:tabs>
        <w:contextualSpacing/>
        <w:jc w:val="both"/>
        <w:rPr>
          <w:rFonts w:ascii="Arial" w:hAnsi="Arial" w:cs="Arial"/>
          <w:sz w:val="22"/>
          <w:szCs w:val="22"/>
          <w:lang w:val="en-US"/>
        </w:rPr>
      </w:pPr>
    </w:p>
    <w:p w14:paraId="10E9A1F5" w14:textId="5146C32E" w:rsidR="00391540" w:rsidRPr="00A4399B" w:rsidRDefault="002A5771" w:rsidP="005619A4">
      <w:pPr>
        <w:numPr>
          <w:ilvl w:val="0"/>
          <w:numId w:val="3"/>
        </w:numPr>
        <w:tabs>
          <w:tab w:val="num" w:pos="0"/>
          <w:tab w:val="num" w:pos="567"/>
          <w:tab w:val="num" w:pos="851"/>
        </w:tabs>
        <w:ind w:left="0" w:right="-284" w:firstLine="0"/>
        <w:contextualSpacing/>
        <w:jc w:val="both"/>
        <w:rPr>
          <w:rFonts w:ascii="Arial" w:hAnsi="Arial" w:cs="Arial"/>
          <w:sz w:val="22"/>
          <w:szCs w:val="22"/>
        </w:rPr>
      </w:pPr>
      <w:r w:rsidRPr="00A4399B">
        <w:rPr>
          <w:rFonts w:ascii="Arial" w:hAnsi="Arial" w:cs="Arial"/>
          <w:sz w:val="22"/>
          <w:szCs w:val="22"/>
          <w:lang w:val="en-US"/>
        </w:rPr>
        <w:t>The respondent was also asked</w:t>
      </w:r>
      <w:r w:rsidR="00C25D5C" w:rsidRPr="00A4399B">
        <w:rPr>
          <w:rFonts w:ascii="Arial" w:hAnsi="Arial" w:cs="Arial"/>
          <w:sz w:val="22"/>
          <w:szCs w:val="22"/>
          <w:lang w:val="en-US"/>
        </w:rPr>
        <w:t xml:space="preserve"> the following</w:t>
      </w:r>
      <w:r w:rsidR="005619A4" w:rsidRPr="00A4399B">
        <w:rPr>
          <w:rFonts w:ascii="Arial" w:hAnsi="Arial" w:cs="Arial"/>
          <w:sz w:val="22"/>
          <w:szCs w:val="22"/>
          <w:lang w:val="en-US"/>
        </w:rPr>
        <w:t xml:space="preserve">: </w:t>
      </w:r>
    </w:p>
    <w:p w14:paraId="766829AD" w14:textId="77777777" w:rsidR="00BC0ABE" w:rsidRPr="00A4399B" w:rsidRDefault="00BC0ABE" w:rsidP="00BC0ABE">
      <w:pPr>
        <w:ind w:right="-284"/>
        <w:contextualSpacing/>
        <w:jc w:val="both"/>
        <w:rPr>
          <w:rFonts w:ascii="Arial" w:hAnsi="Arial" w:cs="Arial"/>
          <w:sz w:val="22"/>
          <w:szCs w:val="22"/>
        </w:rPr>
      </w:pPr>
    </w:p>
    <w:p w14:paraId="7C61ADFA" w14:textId="6DD9FEE1" w:rsidR="0041690A" w:rsidRPr="00A4399B" w:rsidRDefault="00BC0ABE" w:rsidP="00C40883">
      <w:pPr>
        <w:ind w:left="1134" w:hanging="425"/>
        <w:contextualSpacing/>
        <w:jc w:val="both"/>
        <w:rPr>
          <w:rFonts w:ascii="Arial" w:hAnsi="Arial" w:cs="Arial"/>
          <w:sz w:val="22"/>
          <w:szCs w:val="22"/>
        </w:rPr>
      </w:pPr>
      <w:r w:rsidRPr="00A4399B">
        <w:rPr>
          <w:rFonts w:ascii="Arial" w:hAnsi="Arial" w:cs="Arial"/>
          <w:sz w:val="22"/>
          <w:szCs w:val="22"/>
        </w:rPr>
        <w:t xml:space="preserve">a) </w:t>
      </w:r>
      <w:r w:rsidR="006A4D32" w:rsidRPr="00A4399B">
        <w:rPr>
          <w:rFonts w:ascii="Arial" w:hAnsi="Arial" w:cs="Arial"/>
          <w:sz w:val="22"/>
          <w:szCs w:val="22"/>
        </w:rPr>
        <w:tab/>
      </w:r>
      <w:r w:rsidR="006F7CC1" w:rsidRPr="00A4399B">
        <w:rPr>
          <w:rFonts w:ascii="Arial" w:hAnsi="Arial" w:cs="Arial"/>
          <w:sz w:val="22"/>
          <w:szCs w:val="22"/>
        </w:rPr>
        <w:t>whether</w:t>
      </w:r>
      <w:r w:rsidR="00A2128F" w:rsidRPr="00A4399B">
        <w:rPr>
          <w:rFonts w:ascii="Arial" w:hAnsi="Arial" w:cs="Arial"/>
          <w:sz w:val="22"/>
          <w:szCs w:val="22"/>
        </w:rPr>
        <w:t>,</w:t>
      </w:r>
      <w:r w:rsidR="006F7CC1" w:rsidRPr="00A4399B">
        <w:rPr>
          <w:rFonts w:ascii="Arial" w:hAnsi="Arial" w:cs="Arial"/>
          <w:sz w:val="22"/>
          <w:szCs w:val="22"/>
        </w:rPr>
        <w:t xml:space="preserve"> in the opinion of the SSHD</w:t>
      </w:r>
      <w:r w:rsidR="00A2128F" w:rsidRPr="00A4399B">
        <w:rPr>
          <w:rFonts w:ascii="Arial" w:hAnsi="Arial" w:cs="Arial"/>
          <w:sz w:val="22"/>
          <w:szCs w:val="22"/>
        </w:rPr>
        <w:t>,</w:t>
      </w:r>
      <w:r w:rsidR="006F7CC1" w:rsidRPr="00A4399B">
        <w:rPr>
          <w:rFonts w:ascii="Arial" w:hAnsi="Arial" w:cs="Arial"/>
          <w:sz w:val="22"/>
          <w:szCs w:val="22"/>
        </w:rPr>
        <w:t xml:space="preserve"> there was</w:t>
      </w:r>
      <w:r w:rsidR="00B519FB" w:rsidRPr="00A4399B">
        <w:rPr>
          <w:rFonts w:ascii="Arial" w:hAnsi="Arial" w:cs="Arial"/>
          <w:sz w:val="22"/>
          <w:szCs w:val="22"/>
        </w:rPr>
        <w:t xml:space="preserve"> </w:t>
      </w:r>
      <w:r w:rsidR="00C11B7D" w:rsidRPr="00A4399B">
        <w:rPr>
          <w:rFonts w:ascii="Arial" w:hAnsi="Arial" w:cs="Arial"/>
          <w:sz w:val="22"/>
          <w:szCs w:val="22"/>
        </w:rPr>
        <w:t xml:space="preserve">currently </w:t>
      </w:r>
      <w:r w:rsidR="006F7CC1" w:rsidRPr="00A4399B">
        <w:rPr>
          <w:rFonts w:ascii="Arial" w:hAnsi="Arial" w:cs="Arial"/>
          <w:sz w:val="22"/>
          <w:szCs w:val="22"/>
        </w:rPr>
        <w:t>a viable route of return to Afghanistan during the C</w:t>
      </w:r>
      <w:r w:rsidR="00C91291" w:rsidRPr="00A4399B">
        <w:rPr>
          <w:rFonts w:ascii="Arial" w:hAnsi="Arial" w:cs="Arial"/>
          <w:sz w:val="22"/>
          <w:szCs w:val="22"/>
        </w:rPr>
        <w:t>OVID</w:t>
      </w:r>
      <w:r w:rsidR="006F7CC1" w:rsidRPr="00A4399B">
        <w:rPr>
          <w:rFonts w:ascii="Arial" w:hAnsi="Arial" w:cs="Arial"/>
          <w:sz w:val="22"/>
          <w:szCs w:val="22"/>
        </w:rPr>
        <w:t>-19 pandemic</w:t>
      </w:r>
      <w:r w:rsidR="0041690A" w:rsidRPr="00A4399B">
        <w:rPr>
          <w:rFonts w:ascii="Arial" w:hAnsi="Arial" w:cs="Arial"/>
          <w:sz w:val="22"/>
          <w:szCs w:val="22"/>
        </w:rPr>
        <w:t>?</w:t>
      </w:r>
    </w:p>
    <w:p w14:paraId="0DDF28FD" w14:textId="16B2A2CF" w:rsidR="008D4EB5" w:rsidRPr="00A4399B" w:rsidRDefault="0041690A" w:rsidP="00C40883">
      <w:pPr>
        <w:ind w:left="1134" w:hanging="425"/>
        <w:contextualSpacing/>
        <w:jc w:val="both"/>
        <w:rPr>
          <w:rFonts w:ascii="Arial" w:hAnsi="Arial" w:cs="Arial"/>
          <w:sz w:val="22"/>
          <w:szCs w:val="22"/>
        </w:rPr>
      </w:pPr>
      <w:r w:rsidRPr="00A4399B">
        <w:rPr>
          <w:rFonts w:ascii="Arial" w:hAnsi="Arial" w:cs="Arial"/>
          <w:sz w:val="22"/>
          <w:szCs w:val="22"/>
        </w:rPr>
        <w:t xml:space="preserve">b) </w:t>
      </w:r>
      <w:r w:rsidRPr="00A4399B">
        <w:rPr>
          <w:rFonts w:ascii="Arial" w:hAnsi="Arial" w:cs="Arial"/>
          <w:sz w:val="22"/>
          <w:szCs w:val="22"/>
        </w:rPr>
        <w:tab/>
      </w:r>
      <w:r w:rsidR="008D4EB5" w:rsidRPr="00A4399B">
        <w:rPr>
          <w:rFonts w:ascii="Arial" w:hAnsi="Arial" w:cs="Arial"/>
          <w:sz w:val="22"/>
          <w:szCs w:val="22"/>
        </w:rPr>
        <w:t>i</w:t>
      </w:r>
      <w:r w:rsidRPr="00A4399B">
        <w:rPr>
          <w:rFonts w:ascii="Arial" w:hAnsi="Arial" w:cs="Arial"/>
          <w:sz w:val="22"/>
          <w:szCs w:val="22"/>
        </w:rPr>
        <w:t xml:space="preserve">f so, </w:t>
      </w:r>
      <w:r w:rsidR="00A86988" w:rsidRPr="00A4399B">
        <w:rPr>
          <w:rFonts w:ascii="Arial" w:hAnsi="Arial" w:cs="Arial"/>
          <w:sz w:val="22"/>
          <w:szCs w:val="22"/>
        </w:rPr>
        <w:t>to provide details of the route</w:t>
      </w:r>
      <w:r w:rsidR="002B34E7" w:rsidRPr="00A4399B">
        <w:rPr>
          <w:rFonts w:ascii="Arial" w:hAnsi="Arial" w:cs="Arial"/>
          <w:sz w:val="22"/>
          <w:szCs w:val="22"/>
        </w:rPr>
        <w:t xml:space="preserve">(s) available to </w:t>
      </w:r>
      <w:r w:rsidR="006F7CC1" w:rsidRPr="00A4399B">
        <w:rPr>
          <w:rFonts w:ascii="Arial" w:hAnsi="Arial" w:cs="Arial"/>
          <w:sz w:val="22"/>
          <w:szCs w:val="22"/>
        </w:rPr>
        <w:t>Afghan nationals travel</w:t>
      </w:r>
      <w:r w:rsidR="00BD2868" w:rsidRPr="00A4399B">
        <w:rPr>
          <w:rFonts w:ascii="Arial" w:hAnsi="Arial" w:cs="Arial"/>
          <w:sz w:val="22"/>
          <w:szCs w:val="22"/>
        </w:rPr>
        <w:t>ling</w:t>
      </w:r>
      <w:r w:rsidR="006F7CC1" w:rsidRPr="00A4399B">
        <w:rPr>
          <w:rFonts w:ascii="Arial" w:hAnsi="Arial" w:cs="Arial"/>
          <w:sz w:val="22"/>
          <w:szCs w:val="22"/>
        </w:rPr>
        <w:t xml:space="preserve"> to Afghanistan from the UK (with or without assistance from the SSHD); </w:t>
      </w:r>
    </w:p>
    <w:p w14:paraId="170A7AFD" w14:textId="37DA31BD" w:rsidR="00676064" w:rsidRPr="00A4399B" w:rsidRDefault="008D4EB5" w:rsidP="00C40883">
      <w:pPr>
        <w:ind w:left="1134" w:hanging="425"/>
        <w:contextualSpacing/>
        <w:jc w:val="both"/>
        <w:rPr>
          <w:rFonts w:ascii="Arial" w:hAnsi="Arial" w:cs="Arial"/>
          <w:sz w:val="22"/>
          <w:szCs w:val="22"/>
        </w:rPr>
      </w:pPr>
      <w:r w:rsidRPr="00A4399B">
        <w:rPr>
          <w:rFonts w:ascii="Arial" w:hAnsi="Arial" w:cs="Arial"/>
          <w:sz w:val="22"/>
          <w:szCs w:val="22"/>
        </w:rPr>
        <w:t>c)</w:t>
      </w:r>
      <w:r w:rsidRPr="00A4399B">
        <w:rPr>
          <w:rFonts w:ascii="Arial" w:hAnsi="Arial" w:cs="Arial"/>
          <w:sz w:val="22"/>
          <w:szCs w:val="22"/>
        </w:rPr>
        <w:tab/>
      </w:r>
      <w:r w:rsidR="00391540" w:rsidRPr="00A4399B">
        <w:rPr>
          <w:rFonts w:ascii="Arial" w:hAnsi="Arial" w:cs="Arial"/>
          <w:sz w:val="22"/>
          <w:szCs w:val="22"/>
        </w:rPr>
        <w:t xml:space="preserve">whether the </w:t>
      </w:r>
      <w:r w:rsidR="00B820AA" w:rsidRPr="00A4399B">
        <w:rPr>
          <w:rFonts w:ascii="Arial" w:hAnsi="Arial" w:cs="Arial"/>
          <w:sz w:val="22"/>
          <w:szCs w:val="22"/>
        </w:rPr>
        <w:t>SSHD</w:t>
      </w:r>
      <w:r w:rsidR="00391540" w:rsidRPr="00A4399B">
        <w:rPr>
          <w:rFonts w:ascii="Arial" w:hAnsi="Arial" w:cs="Arial"/>
          <w:sz w:val="22"/>
          <w:szCs w:val="22"/>
        </w:rPr>
        <w:t xml:space="preserve"> is currently </w:t>
      </w:r>
      <w:r w:rsidR="00013AFC" w:rsidRPr="00A4399B">
        <w:rPr>
          <w:rFonts w:ascii="Arial" w:hAnsi="Arial" w:cs="Arial"/>
          <w:sz w:val="22"/>
          <w:szCs w:val="22"/>
        </w:rPr>
        <w:t>enforcing removals to Afghanistan</w:t>
      </w:r>
      <w:r w:rsidR="00391540" w:rsidRPr="00A4399B">
        <w:rPr>
          <w:rFonts w:ascii="Arial" w:hAnsi="Arial" w:cs="Arial"/>
          <w:sz w:val="22"/>
          <w:szCs w:val="22"/>
        </w:rPr>
        <w:t xml:space="preserve"> and if not, why not</w:t>
      </w:r>
      <w:r w:rsidR="0079005E" w:rsidRPr="00A4399B">
        <w:rPr>
          <w:rFonts w:ascii="Arial" w:hAnsi="Arial" w:cs="Arial"/>
          <w:sz w:val="22"/>
          <w:szCs w:val="22"/>
        </w:rPr>
        <w:t>?</w:t>
      </w:r>
    </w:p>
    <w:p w14:paraId="4043CB2C" w14:textId="1C8A9B17" w:rsidR="00494891" w:rsidRPr="00A4399B" w:rsidRDefault="00F32C25" w:rsidP="00C40883">
      <w:pPr>
        <w:tabs>
          <w:tab w:val="num" w:pos="567"/>
        </w:tabs>
        <w:ind w:left="1134" w:hanging="425"/>
        <w:contextualSpacing/>
        <w:jc w:val="both"/>
        <w:rPr>
          <w:rFonts w:ascii="Arial" w:hAnsi="Arial" w:cs="Arial"/>
          <w:sz w:val="22"/>
          <w:szCs w:val="22"/>
        </w:rPr>
      </w:pPr>
      <w:r w:rsidRPr="00A4399B">
        <w:rPr>
          <w:rFonts w:ascii="Arial" w:hAnsi="Arial" w:cs="Arial"/>
          <w:sz w:val="22"/>
          <w:szCs w:val="22"/>
        </w:rPr>
        <w:t>d</w:t>
      </w:r>
      <w:r w:rsidR="00B820AA" w:rsidRPr="00A4399B">
        <w:rPr>
          <w:rFonts w:ascii="Arial" w:hAnsi="Arial" w:cs="Arial"/>
          <w:sz w:val="22"/>
          <w:szCs w:val="22"/>
        </w:rPr>
        <w:t>)</w:t>
      </w:r>
      <w:r w:rsidR="00B820AA" w:rsidRPr="00A4399B">
        <w:rPr>
          <w:rFonts w:ascii="Arial" w:hAnsi="Arial" w:cs="Arial"/>
          <w:sz w:val="22"/>
          <w:szCs w:val="22"/>
        </w:rPr>
        <w:tab/>
      </w:r>
      <w:r w:rsidR="00533399" w:rsidRPr="00A4399B">
        <w:rPr>
          <w:rFonts w:ascii="Arial" w:hAnsi="Arial" w:cs="Arial"/>
          <w:sz w:val="22"/>
          <w:szCs w:val="22"/>
        </w:rPr>
        <w:t>what steps, if any</w:t>
      </w:r>
      <w:r w:rsidRPr="00A4399B">
        <w:rPr>
          <w:rFonts w:ascii="Arial" w:hAnsi="Arial" w:cs="Arial"/>
          <w:sz w:val="22"/>
          <w:szCs w:val="22"/>
        </w:rPr>
        <w:t>,</w:t>
      </w:r>
      <w:r w:rsidR="00676064" w:rsidRPr="00A4399B">
        <w:rPr>
          <w:rFonts w:ascii="Arial" w:hAnsi="Arial" w:cs="Arial"/>
          <w:sz w:val="22"/>
          <w:szCs w:val="22"/>
        </w:rPr>
        <w:t xml:space="preserve"> the SSHD </w:t>
      </w:r>
      <w:r w:rsidR="005A5514" w:rsidRPr="00A4399B">
        <w:rPr>
          <w:rFonts w:ascii="Arial" w:hAnsi="Arial" w:cs="Arial"/>
          <w:sz w:val="22"/>
          <w:szCs w:val="22"/>
        </w:rPr>
        <w:t xml:space="preserve">had taken </w:t>
      </w:r>
      <w:r w:rsidR="00676064" w:rsidRPr="00A4399B">
        <w:rPr>
          <w:rFonts w:ascii="Arial" w:hAnsi="Arial" w:cs="Arial"/>
          <w:sz w:val="22"/>
          <w:szCs w:val="22"/>
        </w:rPr>
        <w:t>to return the appellant to Afghanistan</w:t>
      </w:r>
      <w:r w:rsidR="0079005E" w:rsidRPr="00A4399B">
        <w:rPr>
          <w:rFonts w:ascii="Arial" w:hAnsi="Arial" w:cs="Arial"/>
          <w:sz w:val="22"/>
          <w:szCs w:val="22"/>
        </w:rPr>
        <w:t>?</w:t>
      </w:r>
      <w:r w:rsidR="007D0F90" w:rsidRPr="00A4399B">
        <w:rPr>
          <w:rFonts w:ascii="Arial" w:hAnsi="Arial" w:cs="Arial"/>
          <w:sz w:val="22"/>
          <w:szCs w:val="22"/>
        </w:rPr>
        <w:t xml:space="preserve"> and</w:t>
      </w:r>
      <w:r w:rsidR="00676064" w:rsidRPr="00A4399B">
        <w:rPr>
          <w:rFonts w:ascii="Arial" w:hAnsi="Arial" w:cs="Arial"/>
          <w:sz w:val="22"/>
          <w:szCs w:val="22"/>
        </w:rPr>
        <w:t xml:space="preserve"> </w:t>
      </w:r>
    </w:p>
    <w:p w14:paraId="33072E74" w14:textId="65903C89" w:rsidR="00391540" w:rsidRPr="00A4399B" w:rsidRDefault="007D0F90" w:rsidP="00C40883">
      <w:pPr>
        <w:ind w:left="1134" w:hanging="425"/>
        <w:contextualSpacing/>
        <w:jc w:val="both"/>
        <w:rPr>
          <w:rFonts w:ascii="Arial" w:hAnsi="Arial" w:cs="Arial"/>
          <w:sz w:val="22"/>
          <w:szCs w:val="22"/>
        </w:rPr>
      </w:pPr>
      <w:r w:rsidRPr="00A4399B">
        <w:rPr>
          <w:rFonts w:ascii="Arial" w:hAnsi="Arial" w:cs="Arial"/>
          <w:sz w:val="22"/>
          <w:szCs w:val="22"/>
        </w:rPr>
        <w:t>e</w:t>
      </w:r>
      <w:r w:rsidR="000D7A2B" w:rsidRPr="00A4399B">
        <w:rPr>
          <w:rFonts w:ascii="Arial" w:hAnsi="Arial" w:cs="Arial"/>
          <w:sz w:val="22"/>
          <w:szCs w:val="22"/>
        </w:rPr>
        <w:t>)</w:t>
      </w:r>
      <w:r w:rsidR="000D7A2B" w:rsidRPr="00A4399B">
        <w:rPr>
          <w:rFonts w:ascii="Arial" w:hAnsi="Arial" w:cs="Arial"/>
          <w:sz w:val="22"/>
          <w:szCs w:val="22"/>
        </w:rPr>
        <w:tab/>
      </w:r>
      <w:r w:rsidR="004548F6" w:rsidRPr="00A4399B">
        <w:rPr>
          <w:rFonts w:ascii="Arial" w:hAnsi="Arial" w:cs="Arial"/>
          <w:sz w:val="22"/>
          <w:szCs w:val="22"/>
        </w:rPr>
        <w:t>what</w:t>
      </w:r>
      <w:r w:rsidR="00391540" w:rsidRPr="00A4399B">
        <w:rPr>
          <w:rFonts w:ascii="Arial" w:hAnsi="Arial" w:cs="Arial"/>
          <w:sz w:val="22"/>
          <w:szCs w:val="22"/>
        </w:rPr>
        <w:t xml:space="preserve"> </w:t>
      </w:r>
      <w:r w:rsidR="00C94DE3" w:rsidRPr="00A4399B">
        <w:rPr>
          <w:rFonts w:ascii="Arial" w:hAnsi="Arial" w:cs="Arial"/>
          <w:sz w:val="22"/>
          <w:szCs w:val="22"/>
        </w:rPr>
        <w:t>support</w:t>
      </w:r>
      <w:r w:rsidR="003C1E23" w:rsidRPr="00A4399B">
        <w:rPr>
          <w:rFonts w:ascii="Arial" w:hAnsi="Arial" w:cs="Arial"/>
          <w:sz w:val="22"/>
          <w:szCs w:val="22"/>
        </w:rPr>
        <w:t>, if any,</w:t>
      </w:r>
      <w:r w:rsidR="00391540" w:rsidRPr="00A4399B">
        <w:rPr>
          <w:rFonts w:ascii="Arial" w:hAnsi="Arial" w:cs="Arial"/>
          <w:sz w:val="22"/>
          <w:szCs w:val="22"/>
        </w:rPr>
        <w:t xml:space="preserve"> can be provided to </w:t>
      </w:r>
      <w:r w:rsidR="00642CC5" w:rsidRPr="00A4399B">
        <w:rPr>
          <w:rFonts w:ascii="Arial" w:hAnsi="Arial" w:cs="Arial"/>
          <w:sz w:val="22"/>
          <w:szCs w:val="22"/>
        </w:rPr>
        <w:t xml:space="preserve">the appellant </w:t>
      </w:r>
      <w:r w:rsidR="00391540" w:rsidRPr="00A4399B">
        <w:rPr>
          <w:rFonts w:ascii="Arial" w:hAnsi="Arial" w:cs="Arial"/>
          <w:sz w:val="22"/>
          <w:szCs w:val="22"/>
        </w:rPr>
        <w:t xml:space="preserve">by </w:t>
      </w:r>
      <w:r w:rsidR="00926F5D" w:rsidRPr="00A4399B">
        <w:rPr>
          <w:rFonts w:ascii="Arial" w:hAnsi="Arial" w:cs="Arial"/>
          <w:sz w:val="22"/>
          <w:szCs w:val="22"/>
        </w:rPr>
        <w:t xml:space="preserve">way </w:t>
      </w:r>
      <w:r w:rsidR="003C1E23" w:rsidRPr="00A4399B">
        <w:rPr>
          <w:rFonts w:ascii="Arial" w:hAnsi="Arial" w:cs="Arial"/>
          <w:sz w:val="22"/>
          <w:szCs w:val="22"/>
        </w:rPr>
        <w:t xml:space="preserve">of </w:t>
      </w:r>
      <w:r w:rsidR="00926F5D" w:rsidRPr="00A4399B">
        <w:rPr>
          <w:rFonts w:ascii="Arial" w:hAnsi="Arial" w:cs="Arial"/>
          <w:sz w:val="22"/>
          <w:szCs w:val="22"/>
        </w:rPr>
        <w:t xml:space="preserve">an </w:t>
      </w:r>
      <w:r w:rsidR="003C1E23" w:rsidRPr="00A4399B">
        <w:rPr>
          <w:rFonts w:ascii="Arial" w:hAnsi="Arial" w:cs="Arial"/>
          <w:sz w:val="22"/>
          <w:szCs w:val="22"/>
        </w:rPr>
        <w:t>assisted volun</w:t>
      </w:r>
      <w:r w:rsidR="00926F5D" w:rsidRPr="00A4399B">
        <w:rPr>
          <w:rFonts w:ascii="Arial" w:hAnsi="Arial" w:cs="Arial"/>
          <w:sz w:val="22"/>
          <w:szCs w:val="22"/>
        </w:rPr>
        <w:t>tary</w:t>
      </w:r>
      <w:r w:rsidR="00391540" w:rsidRPr="00A4399B">
        <w:rPr>
          <w:rFonts w:ascii="Arial" w:hAnsi="Arial" w:cs="Arial"/>
          <w:sz w:val="22"/>
          <w:szCs w:val="22"/>
        </w:rPr>
        <w:t xml:space="preserve"> return</w:t>
      </w:r>
      <w:r w:rsidR="00CC2C4D" w:rsidRPr="00A4399B">
        <w:rPr>
          <w:rFonts w:ascii="Arial" w:hAnsi="Arial" w:cs="Arial"/>
          <w:sz w:val="22"/>
          <w:szCs w:val="22"/>
        </w:rPr>
        <w:t>.</w:t>
      </w:r>
    </w:p>
    <w:p w14:paraId="358DE3F8" w14:textId="77777777" w:rsidR="00391540" w:rsidRPr="00A4399B" w:rsidRDefault="00391540" w:rsidP="00C64359">
      <w:pPr>
        <w:rPr>
          <w:lang w:val="en-US"/>
        </w:rPr>
      </w:pPr>
    </w:p>
    <w:p w14:paraId="0A5E98DB" w14:textId="77777777" w:rsidR="00391540" w:rsidRPr="00A4399B" w:rsidRDefault="00391540" w:rsidP="006D4206">
      <w:pPr>
        <w:tabs>
          <w:tab w:val="num" w:pos="567"/>
          <w:tab w:val="num" w:pos="720"/>
        </w:tabs>
        <w:jc w:val="both"/>
        <w:rPr>
          <w:rFonts w:ascii="Arial" w:hAnsi="Arial" w:cs="Arial"/>
          <w:sz w:val="22"/>
          <w:szCs w:val="22"/>
        </w:rPr>
      </w:pPr>
    </w:p>
    <w:p w14:paraId="42325C29" w14:textId="49C1357A" w:rsidR="000B4257" w:rsidRPr="00A4399B" w:rsidRDefault="00820E68" w:rsidP="00B67B19">
      <w:pPr>
        <w:tabs>
          <w:tab w:val="num" w:pos="567"/>
          <w:tab w:val="num" w:pos="720"/>
        </w:tabs>
        <w:jc w:val="both"/>
        <w:rPr>
          <w:rFonts w:ascii="Arial Black" w:hAnsi="Arial Black" w:cs="Arial"/>
          <w:b/>
          <w:smallCaps/>
          <w:sz w:val="22"/>
          <w:szCs w:val="22"/>
        </w:rPr>
      </w:pPr>
      <w:r w:rsidRPr="00A4399B">
        <w:rPr>
          <w:rFonts w:ascii="Arial Black" w:hAnsi="Arial Black" w:cs="Arial"/>
          <w:b/>
          <w:smallCaps/>
          <w:sz w:val="22"/>
          <w:szCs w:val="22"/>
        </w:rPr>
        <w:t xml:space="preserve">The </w:t>
      </w:r>
      <w:r w:rsidR="006A450C" w:rsidRPr="00A4399B">
        <w:rPr>
          <w:rFonts w:ascii="Arial Black" w:hAnsi="Arial Black" w:cs="Arial"/>
          <w:b/>
          <w:smallCaps/>
          <w:sz w:val="22"/>
          <w:szCs w:val="22"/>
        </w:rPr>
        <w:t xml:space="preserve">SSHD’s </w:t>
      </w:r>
      <w:r w:rsidR="00273AF8" w:rsidRPr="00A4399B">
        <w:rPr>
          <w:rFonts w:ascii="Arial Black" w:hAnsi="Arial Black" w:cs="Arial"/>
          <w:b/>
          <w:smallCaps/>
          <w:sz w:val="22"/>
          <w:szCs w:val="22"/>
        </w:rPr>
        <w:t xml:space="preserve">submissions and </w:t>
      </w:r>
      <w:r w:rsidR="00D3230E" w:rsidRPr="00A4399B">
        <w:rPr>
          <w:rFonts w:ascii="Arial Black" w:hAnsi="Arial Black" w:cs="Arial"/>
          <w:b/>
          <w:smallCaps/>
          <w:sz w:val="22"/>
          <w:szCs w:val="22"/>
        </w:rPr>
        <w:t>response to</w:t>
      </w:r>
      <w:r w:rsidR="00273AF8" w:rsidRPr="00A4399B">
        <w:rPr>
          <w:rFonts w:ascii="Arial Black" w:hAnsi="Arial Black" w:cs="Arial"/>
          <w:b/>
          <w:smallCaps/>
          <w:sz w:val="22"/>
          <w:szCs w:val="22"/>
        </w:rPr>
        <w:t xml:space="preserve"> the first</w:t>
      </w:r>
      <w:r w:rsidR="005C7778" w:rsidRPr="00A4399B">
        <w:rPr>
          <w:rFonts w:ascii="Arial Black" w:hAnsi="Arial Black" w:cs="Arial"/>
          <w:b/>
          <w:smallCaps/>
          <w:sz w:val="22"/>
          <w:szCs w:val="22"/>
        </w:rPr>
        <w:t xml:space="preserve"> </w:t>
      </w:r>
      <w:r w:rsidR="00273AF8" w:rsidRPr="00A4399B">
        <w:rPr>
          <w:rFonts w:ascii="Arial Black" w:hAnsi="Arial Black" w:cs="Arial"/>
          <w:b/>
          <w:smallCaps/>
          <w:sz w:val="22"/>
          <w:szCs w:val="22"/>
        </w:rPr>
        <w:t>directions</w:t>
      </w:r>
      <w:r w:rsidR="006A450C" w:rsidRPr="00A4399B">
        <w:rPr>
          <w:rFonts w:ascii="Arial Black" w:hAnsi="Arial Black" w:cs="Arial"/>
          <w:b/>
          <w:smallCaps/>
          <w:sz w:val="22"/>
          <w:szCs w:val="22"/>
        </w:rPr>
        <w:t xml:space="preserve"> </w:t>
      </w:r>
    </w:p>
    <w:p w14:paraId="2512FCC6" w14:textId="77777777" w:rsidR="00977B6A" w:rsidRDefault="00977B6A" w:rsidP="00977B6A">
      <w:pPr>
        <w:tabs>
          <w:tab w:val="num" w:pos="1004"/>
        </w:tabs>
        <w:jc w:val="both"/>
        <w:rPr>
          <w:rFonts w:ascii="Arial" w:hAnsi="Arial" w:cs="Arial"/>
          <w:sz w:val="22"/>
          <w:szCs w:val="22"/>
        </w:rPr>
      </w:pPr>
    </w:p>
    <w:p w14:paraId="61198655" w14:textId="5E4F58EA" w:rsidR="00FD01BE" w:rsidRPr="00A4399B" w:rsidRDefault="000F3EAD" w:rsidP="003D33CB">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 xml:space="preserve">On 3 March 2021, </w:t>
      </w:r>
      <w:r w:rsidR="00BC6DA3" w:rsidRPr="00A4399B">
        <w:rPr>
          <w:rFonts w:ascii="Arial" w:hAnsi="Arial" w:cs="Arial"/>
          <w:sz w:val="22"/>
          <w:szCs w:val="22"/>
        </w:rPr>
        <w:t xml:space="preserve">the </w:t>
      </w:r>
      <w:r w:rsidR="00223379">
        <w:rPr>
          <w:rFonts w:ascii="Arial" w:hAnsi="Arial" w:cs="Arial"/>
          <w:sz w:val="22"/>
          <w:szCs w:val="22"/>
        </w:rPr>
        <w:t>SSHD’</w:t>
      </w:r>
      <w:r w:rsidR="00BC6DA3" w:rsidRPr="00A4399B">
        <w:rPr>
          <w:rFonts w:ascii="Arial" w:hAnsi="Arial" w:cs="Arial"/>
          <w:sz w:val="22"/>
          <w:szCs w:val="22"/>
        </w:rPr>
        <w:t xml:space="preserve">s </w:t>
      </w:r>
      <w:r w:rsidR="004A2CED" w:rsidRPr="00A4399B">
        <w:rPr>
          <w:rFonts w:ascii="Arial" w:hAnsi="Arial" w:cs="Arial"/>
          <w:sz w:val="22"/>
          <w:szCs w:val="22"/>
        </w:rPr>
        <w:t>l</w:t>
      </w:r>
      <w:r w:rsidR="00BC6DA3" w:rsidRPr="00A4399B">
        <w:rPr>
          <w:rFonts w:ascii="Arial" w:hAnsi="Arial" w:cs="Arial"/>
          <w:sz w:val="22"/>
          <w:szCs w:val="22"/>
        </w:rPr>
        <w:t xml:space="preserve">egal </w:t>
      </w:r>
      <w:r w:rsidR="005C7778" w:rsidRPr="00A4399B">
        <w:rPr>
          <w:rFonts w:ascii="Arial" w:hAnsi="Arial" w:cs="Arial"/>
          <w:sz w:val="22"/>
          <w:szCs w:val="22"/>
        </w:rPr>
        <w:t>t</w:t>
      </w:r>
      <w:r w:rsidR="00BC6DA3" w:rsidRPr="00A4399B">
        <w:rPr>
          <w:rFonts w:ascii="Arial" w:hAnsi="Arial" w:cs="Arial"/>
          <w:sz w:val="22"/>
          <w:szCs w:val="22"/>
        </w:rPr>
        <w:t>eam</w:t>
      </w:r>
      <w:r w:rsidR="00E94E8D" w:rsidRPr="00A4399B">
        <w:rPr>
          <w:rFonts w:ascii="Arial" w:hAnsi="Arial" w:cs="Arial"/>
          <w:sz w:val="22"/>
          <w:szCs w:val="22"/>
        </w:rPr>
        <w:t>,</w:t>
      </w:r>
      <w:r w:rsidR="001E4440" w:rsidRPr="00A4399B">
        <w:rPr>
          <w:rFonts w:ascii="Arial" w:hAnsi="Arial" w:cs="Arial"/>
          <w:sz w:val="22"/>
          <w:szCs w:val="22"/>
        </w:rPr>
        <w:t xml:space="preserve"> </w:t>
      </w:r>
      <w:r w:rsidR="00B01CB9" w:rsidRPr="00A4399B">
        <w:rPr>
          <w:rFonts w:ascii="Arial" w:hAnsi="Arial" w:cs="Arial"/>
          <w:sz w:val="22"/>
          <w:szCs w:val="22"/>
        </w:rPr>
        <w:t xml:space="preserve">filed </w:t>
      </w:r>
      <w:r w:rsidR="006C098C" w:rsidRPr="00A4399B">
        <w:rPr>
          <w:rFonts w:ascii="Arial" w:hAnsi="Arial" w:cs="Arial"/>
          <w:sz w:val="22"/>
          <w:szCs w:val="22"/>
        </w:rPr>
        <w:t>lengthy</w:t>
      </w:r>
      <w:r w:rsidRPr="00A4399B">
        <w:rPr>
          <w:rFonts w:ascii="Arial" w:hAnsi="Arial" w:cs="Arial"/>
          <w:sz w:val="22"/>
          <w:szCs w:val="22"/>
        </w:rPr>
        <w:t xml:space="preserve"> submissions </w:t>
      </w:r>
      <w:r w:rsidR="004C2EBA" w:rsidRPr="00A4399B">
        <w:rPr>
          <w:rFonts w:ascii="Arial" w:hAnsi="Arial" w:cs="Arial"/>
          <w:sz w:val="22"/>
          <w:szCs w:val="22"/>
        </w:rPr>
        <w:t xml:space="preserve">challenging the lawfulness of </w:t>
      </w:r>
      <w:r w:rsidR="004C2EBA" w:rsidRPr="00A4399B">
        <w:rPr>
          <w:rFonts w:ascii="Arial" w:hAnsi="Arial" w:cs="Arial"/>
          <w:i/>
          <w:sz w:val="22"/>
          <w:szCs w:val="22"/>
        </w:rPr>
        <w:t>PA and MA</w:t>
      </w:r>
      <w:r w:rsidR="006476CF" w:rsidRPr="00A4399B">
        <w:rPr>
          <w:rFonts w:ascii="Arial" w:hAnsi="Arial" w:cs="Arial"/>
          <w:sz w:val="22"/>
          <w:szCs w:val="22"/>
        </w:rPr>
        <w:t xml:space="preserve"> </w:t>
      </w:r>
      <w:r w:rsidR="006A7008" w:rsidRPr="00A4399B">
        <w:rPr>
          <w:rFonts w:ascii="Arial" w:hAnsi="Arial" w:cs="Arial"/>
          <w:sz w:val="22"/>
          <w:szCs w:val="22"/>
        </w:rPr>
        <w:t>and</w:t>
      </w:r>
      <w:r w:rsidR="00E209FA" w:rsidRPr="00A4399B">
        <w:rPr>
          <w:rFonts w:ascii="Arial" w:hAnsi="Arial" w:cs="Arial"/>
          <w:sz w:val="22"/>
          <w:szCs w:val="22"/>
        </w:rPr>
        <w:t xml:space="preserve"> </w:t>
      </w:r>
      <w:r w:rsidR="005975A7" w:rsidRPr="00A4399B">
        <w:rPr>
          <w:rFonts w:ascii="Arial" w:hAnsi="Arial" w:cs="Arial"/>
          <w:sz w:val="22"/>
          <w:szCs w:val="22"/>
        </w:rPr>
        <w:t xml:space="preserve">submitted </w:t>
      </w:r>
      <w:r w:rsidR="00BF09C2" w:rsidRPr="00A4399B">
        <w:rPr>
          <w:rFonts w:ascii="Arial" w:hAnsi="Arial" w:cs="Arial"/>
          <w:sz w:val="22"/>
          <w:szCs w:val="22"/>
        </w:rPr>
        <w:t>th</w:t>
      </w:r>
      <w:r w:rsidR="00BE530D" w:rsidRPr="00A4399B">
        <w:rPr>
          <w:rFonts w:ascii="Arial" w:hAnsi="Arial" w:cs="Arial"/>
          <w:sz w:val="22"/>
          <w:szCs w:val="22"/>
        </w:rPr>
        <w:t>at</w:t>
      </w:r>
      <w:r w:rsidR="00FD01BE" w:rsidRPr="00A4399B">
        <w:rPr>
          <w:rFonts w:ascii="Arial" w:hAnsi="Arial" w:cs="Arial"/>
          <w:sz w:val="22"/>
          <w:szCs w:val="22"/>
        </w:rPr>
        <w:t>:</w:t>
      </w:r>
    </w:p>
    <w:p w14:paraId="52A9AABC" w14:textId="5207C6A3" w:rsidR="00FD01BE" w:rsidRPr="00A4399B" w:rsidRDefault="00FD01BE" w:rsidP="00FD01BE">
      <w:pPr>
        <w:tabs>
          <w:tab w:val="num" w:pos="720"/>
        </w:tabs>
        <w:jc w:val="both"/>
        <w:rPr>
          <w:rFonts w:ascii="Arial" w:hAnsi="Arial" w:cs="Arial"/>
          <w:sz w:val="22"/>
          <w:szCs w:val="22"/>
        </w:rPr>
      </w:pPr>
    </w:p>
    <w:p w14:paraId="7A8E6C65" w14:textId="4B4E981F" w:rsidR="00197FB3" w:rsidRPr="00A4399B" w:rsidRDefault="00434B89" w:rsidP="00FE6946">
      <w:pPr>
        <w:autoSpaceDE w:val="0"/>
        <w:autoSpaceDN w:val="0"/>
        <w:adjustRightInd w:val="0"/>
        <w:ind w:left="1134" w:hanging="425"/>
        <w:jc w:val="both"/>
        <w:rPr>
          <w:rFonts w:ascii="Arial" w:eastAsia="TimesNewRoman" w:hAnsi="Arial" w:cs="Arial"/>
          <w:sz w:val="22"/>
          <w:szCs w:val="22"/>
          <w:lang w:eastAsia="en-US"/>
        </w:rPr>
      </w:pPr>
      <w:r w:rsidRPr="00A4399B">
        <w:rPr>
          <w:rFonts w:ascii="Arial" w:eastAsia="TimesNewRoman" w:hAnsi="Arial" w:cs="Arial"/>
          <w:sz w:val="22"/>
          <w:szCs w:val="22"/>
          <w:lang w:eastAsia="en-US"/>
        </w:rPr>
        <w:t>a</w:t>
      </w:r>
      <w:r w:rsidR="00197FB3" w:rsidRPr="00A4399B">
        <w:rPr>
          <w:rFonts w:ascii="Arial" w:eastAsia="TimesNewRoman" w:hAnsi="Arial" w:cs="Arial"/>
          <w:sz w:val="22"/>
          <w:szCs w:val="22"/>
          <w:lang w:eastAsia="en-US"/>
        </w:rPr>
        <w:t xml:space="preserve">) </w:t>
      </w:r>
      <w:r w:rsidR="00BF09C2" w:rsidRPr="00A4399B">
        <w:rPr>
          <w:rFonts w:ascii="Arial" w:eastAsia="TimesNewRoman" w:hAnsi="Arial" w:cs="Arial"/>
          <w:sz w:val="22"/>
          <w:szCs w:val="22"/>
          <w:lang w:eastAsia="en-US"/>
        </w:rPr>
        <w:t xml:space="preserve">  </w:t>
      </w:r>
      <w:r w:rsidR="009E2771" w:rsidRPr="00A4399B">
        <w:rPr>
          <w:rFonts w:ascii="Arial" w:eastAsia="TimesNewRoman" w:hAnsi="Arial" w:cs="Arial"/>
          <w:sz w:val="22"/>
          <w:szCs w:val="22"/>
          <w:lang w:eastAsia="en-US"/>
        </w:rPr>
        <w:t>t</w:t>
      </w:r>
      <w:r w:rsidR="00197FB3" w:rsidRPr="00A4399B">
        <w:rPr>
          <w:rFonts w:ascii="Arial" w:eastAsia="TimesNewRoman" w:hAnsi="Arial" w:cs="Arial"/>
          <w:sz w:val="22"/>
          <w:szCs w:val="22"/>
          <w:lang w:eastAsia="en-US"/>
        </w:rPr>
        <w:t>here should be an oral hearing of the appeal</w:t>
      </w:r>
      <w:r w:rsidR="009E2771" w:rsidRPr="00A4399B">
        <w:rPr>
          <w:rFonts w:ascii="Arial" w:eastAsia="TimesNewRoman" w:hAnsi="Arial" w:cs="Arial"/>
          <w:sz w:val="22"/>
          <w:szCs w:val="22"/>
          <w:lang w:eastAsia="en-US"/>
        </w:rPr>
        <w:t>;</w:t>
      </w:r>
    </w:p>
    <w:p w14:paraId="1E9A07D9" w14:textId="3D5FF6E1" w:rsidR="009E2771" w:rsidRPr="00A4399B" w:rsidRDefault="009E2771" w:rsidP="00614614">
      <w:pPr>
        <w:tabs>
          <w:tab w:val="num" w:pos="567"/>
          <w:tab w:val="num" w:pos="720"/>
        </w:tabs>
        <w:ind w:left="1134" w:hanging="1134"/>
        <w:jc w:val="both"/>
        <w:rPr>
          <w:rFonts w:ascii="Arial" w:hAnsi="Arial" w:cs="Arial"/>
          <w:sz w:val="22"/>
          <w:szCs w:val="22"/>
        </w:rPr>
      </w:pPr>
      <w:r w:rsidRPr="00A4399B">
        <w:rPr>
          <w:rFonts w:ascii="Arial" w:eastAsia="TimesNewRoman" w:hAnsi="Arial" w:cs="Arial"/>
          <w:sz w:val="22"/>
          <w:szCs w:val="22"/>
          <w:lang w:eastAsia="en-US"/>
        </w:rPr>
        <w:tab/>
      </w:r>
      <w:r w:rsidRPr="00A4399B">
        <w:rPr>
          <w:rFonts w:ascii="Arial" w:eastAsia="TimesNewRoman" w:hAnsi="Arial" w:cs="Arial"/>
          <w:sz w:val="22"/>
          <w:szCs w:val="22"/>
          <w:lang w:eastAsia="en-US"/>
        </w:rPr>
        <w:tab/>
        <w:t>b)</w:t>
      </w:r>
      <w:r w:rsidRPr="00A4399B">
        <w:rPr>
          <w:rFonts w:ascii="Arial" w:eastAsia="TimesNewRoman" w:hAnsi="Arial" w:cs="Arial"/>
          <w:sz w:val="22"/>
          <w:szCs w:val="22"/>
          <w:lang w:eastAsia="en-US"/>
        </w:rPr>
        <w:tab/>
      </w:r>
      <w:r w:rsidRPr="00A4399B">
        <w:rPr>
          <w:rFonts w:ascii="Arial" w:hAnsi="Arial" w:cs="Arial"/>
          <w:sz w:val="22"/>
          <w:szCs w:val="22"/>
        </w:rPr>
        <w:t xml:space="preserve">the </w:t>
      </w:r>
      <w:r w:rsidR="001D4554" w:rsidRPr="00A4399B">
        <w:rPr>
          <w:rFonts w:ascii="Arial" w:hAnsi="Arial" w:cs="Arial"/>
          <w:sz w:val="22"/>
          <w:szCs w:val="22"/>
        </w:rPr>
        <w:t xml:space="preserve">SSHD </w:t>
      </w:r>
      <w:r w:rsidR="00BB4126" w:rsidRPr="00A4399B">
        <w:rPr>
          <w:rFonts w:ascii="Arial" w:hAnsi="Arial" w:cs="Arial"/>
          <w:sz w:val="22"/>
          <w:szCs w:val="22"/>
        </w:rPr>
        <w:t xml:space="preserve">should not be </w:t>
      </w:r>
      <w:r w:rsidRPr="00A4399B">
        <w:rPr>
          <w:rFonts w:ascii="Arial" w:hAnsi="Arial" w:cs="Arial"/>
          <w:sz w:val="22"/>
          <w:szCs w:val="22"/>
        </w:rPr>
        <w:t>bar</w:t>
      </w:r>
      <w:r w:rsidR="007635B5" w:rsidRPr="00A4399B">
        <w:rPr>
          <w:rFonts w:ascii="Arial" w:hAnsi="Arial" w:cs="Arial"/>
          <w:sz w:val="22"/>
          <w:szCs w:val="22"/>
        </w:rPr>
        <w:t>red</w:t>
      </w:r>
      <w:r w:rsidRPr="00A4399B">
        <w:rPr>
          <w:rFonts w:ascii="Arial" w:hAnsi="Arial" w:cs="Arial"/>
          <w:sz w:val="22"/>
          <w:szCs w:val="22"/>
        </w:rPr>
        <w:t xml:space="preserve"> from taking further part in proceedings pursuant to rule 8(3)(c) and 8(7)(a) of the Procedure Rules</w:t>
      </w:r>
      <w:r w:rsidR="00CE304E" w:rsidRPr="00A4399B">
        <w:rPr>
          <w:rFonts w:ascii="Arial" w:hAnsi="Arial" w:cs="Arial"/>
          <w:sz w:val="22"/>
          <w:szCs w:val="22"/>
        </w:rPr>
        <w:t>;</w:t>
      </w:r>
    </w:p>
    <w:p w14:paraId="548C3457" w14:textId="7CCB80BE" w:rsidR="00197FB3" w:rsidRPr="00A4399B" w:rsidRDefault="00434B89" w:rsidP="00FE6946">
      <w:pPr>
        <w:autoSpaceDE w:val="0"/>
        <w:autoSpaceDN w:val="0"/>
        <w:adjustRightInd w:val="0"/>
        <w:ind w:left="1134" w:hanging="425"/>
        <w:jc w:val="both"/>
        <w:rPr>
          <w:rFonts w:ascii="Arial" w:eastAsia="TimesNewRoman" w:hAnsi="Arial" w:cs="Arial"/>
          <w:sz w:val="22"/>
          <w:szCs w:val="22"/>
          <w:lang w:eastAsia="en-US"/>
        </w:rPr>
      </w:pPr>
      <w:r w:rsidRPr="00A4399B">
        <w:rPr>
          <w:rFonts w:ascii="Arial" w:eastAsia="TimesNewRoman" w:hAnsi="Arial" w:cs="Arial"/>
          <w:sz w:val="22"/>
          <w:szCs w:val="22"/>
          <w:lang w:eastAsia="en-US"/>
        </w:rPr>
        <w:t>b</w:t>
      </w:r>
      <w:r w:rsidR="00197FB3" w:rsidRPr="00A4399B">
        <w:rPr>
          <w:rFonts w:ascii="Arial" w:eastAsia="TimesNewRoman" w:hAnsi="Arial" w:cs="Arial"/>
          <w:sz w:val="22"/>
          <w:szCs w:val="22"/>
          <w:lang w:eastAsia="en-US"/>
        </w:rPr>
        <w:t xml:space="preserve">) </w:t>
      </w:r>
      <w:r w:rsidR="00BF09C2" w:rsidRPr="00A4399B">
        <w:rPr>
          <w:rFonts w:ascii="Arial" w:eastAsia="TimesNewRoman" w:hAnsi="Arial" w:cs="Arial"/>
          <w:sz w:val="22"/>
          <w:szCs w:val="22"/>
          <w:lang w:eastAsia="en-US"/>
        </w:rPr>
        <w:tab/>
      </w:r>
      <w:r w:rsidR="009E2771" w:rsidRPr="00A4399B">
        <w:rPr>
          <w:rFonts w:ascii="Arial" w:eastAsia="TimesNewRoman" w:hAnsi="Arial" w:cs="Arial"/>
          <w:sz w:val="22"/>
          <w:szCs w:val="22"/>
          <w:lang w:eastAsia="en-US"/>
        </w:rPr>
        <w:t>u</w:t>
      </w:r>
      <w:r w:rsidR="00197FB3" w:rsidRPr="00A4399B">
        <w:rPr>
          <w:rFonts w:ascii="Arial" w:eastAsia="TimesNewRoman" w:hAnsi="Arial" w:cs="Arial"/>
          <w:sz w:val="22"/>
          <w:szCs w:val="22"/>
          <w:lang w:eastAsia="en-US"/>
        </w:rPr>
        <w:t>nless the grounds of appeal specifically assert that refusal of support breaches</w:t>
      </w:r>
      <w:r w:rsidR="00A7205D" w:rsidRPr="00A4399B">
        <w:rPr>
          <w:rFonts w:ascii="Arial" w:eastAsia="TimesNewRoman" w:hAnsi="Arial" w:cs="Arial"/>
          <w:sz w:val="22"/>
          <w:szCs w:val="22"/>
          <w:lang w:eastAsia="en-US"/>
        </w:rPr>
        <w:t xml:space="preserve"> </w:t>
      </w:r>
      <w:r w:rsidR="00197FB3" w:rsidRPr="00A4399B">
        <w:rPr>
          <w:rFonts w:ascii="Arial" w:eastAsia="TimesNewRoman" w:hAnsi="Arial" w:cs="Arial"/>
          <w:sz w:val="22"/>
          <w:szCs w:val="22"/>
          <w:lang w:eastAsia="en-US"/>
        </w:rPr>
        <w:t xml:space="preserve">the </w:t>
      </w:r>
      <w:r w:rsidR="00E26D6B" w:rsidRPr="00A4399B">
        <w:rPr>
          <w:rFonts w:ascii="Arial" w:eastAsia="TimesNewRoman" w:hAnsi="Arial" w:cs="Arial"/>
          <w:sz w:val="22"/>
          <w:szCs w:val="22"/>
          <w:lang w:eastAsia="en-US"/>
        </w:rPr>
        <w:t>h</w:t>
      </w:r>
      <w:r w:rsidR="00197FB3" w:rsidRPr="00A4399B">
        <w:rPr>
          <w:rFonts w:ascii="Arial" w:eastAsia="TimesNewRoman" w:hAnsi="Arial" w:cs="Arial"/>
          <w:sz w:val="22"/>
          <w:szCs w:val="22"/>
          <w:lang w:eastAsia="en-US"/>
        </w:rPr>
        <w:t xml:space="preserve">uman </w:t>
      </w:r>
      <w:r w:rsidR="00E26D6B" w:rsidRPr="00A4399B">
        <w:rPr>
          <w:rFonts w:ascii="Arial" w:eastAsia="TimesNewRoman" w:hAnsi="Arial" w:cs="Arial"/>
          <w:sz w:val="22"/>
          <w:szCs w:val="22"/>
          <w:lang w:eastAsia="en-US"/>
        </w:rPr>
        <w:t>r</w:t>
      </w:r>
      <w:r w:rsidR="00197FB3" w:rsidRPr="00A4399B">
        <w:rPr>
          <w:rFonts w:ascii="Arial" w:eastAsia="TimesNewRoman" w:hAnsi="Arial" w:cs="Arial"/>
          <w:sz w:val="22"/>
          <w:szCs w:val="22"/>
          <w:lang w:eastAsia="en-US"/>
        </w:rPr>
        <w:t>ights of the wider community the issue should not be considered</w:t>
      </w:r>
      <w:r w:rsidR="00A7205D" w:rsidRPr="00A4399B">
        <w:rPr>
          <w:rFonts w:ascii="Arial" w:eastAsia="TimesNewRoman" w:hAnsi="Arial" w:cs="Arial"/>
          <w:sz w:val="22"/>
          <w:szCs w:val="22"/>
          <w:lang w:eastAsia="en-US"/>
        </w:rPr>
        <w:t xml:space="preserve"> </w:t>
      </w:r>
      <w:r w:rsidR="00197FB3" w:rsidRPr="00A4399B">
        <w:rPr>
          <w:rFonts w:ascii="Arial" w:eastAsia="TimesNewRoman" w:hAnsi="Arial" w:cs="Arial"/>
          <w:sz w:val="22"/>
          <w:szCs w:val="22"/>
          <w:lang w:eastAsia="en-US"/>
        </w:rPr>
        <w:t>by the Tribunal of its own volition.</w:t>
      </w:r>
    </w:p>
    <w:p w14:paraId="21C0D2B0" w14:textId="31BB88D1" w:rsidR="00197FB3" w:rsidRPr="00A4399B" w:rsidRDefault="00A7205D" w:rsidP="00FE6946">
      <w:pPr>
        <w:autoSpaceDE w:val="0"/>
        <w:autoSpaceDN w:val="0"/>
        <w:adjustRightInd w:val="0"/>
        <w:ind w:left="1134" w:hanging="425"/>
        <w:jc w:val="both"/>
        <w:rPr>
          <w:rFonts w:ascii="Arial" w:eastAsia="TimesNewRoman" w:hAnsi="Arial" w:cs="Arial"/>
          <w:sz w:val="22"/>
          <w:szCs w:val="22"/>
          <w:lang w:eastAsia="en-US"/>
        </w:rPr>
      </w:pPr>
      <w:r w:rsidRPr="00A4399B">
        <w:rPr>
          <w:rFonts w:ascii="Arial" w:eastAsia="TimesNewRoman" w:hAnsi="Arial" w:cs="Arial"/>
          <w:sz w:val="22"/>
          <w:szCs w:val="22"/>
          <w:lang w:eastAsia="en-US"/>
        </w:rPr>
        <w:t>c</w:t>
      </w:r>
      <w:r w:rsidR="00197FB3" w:rsidRPr="00A4399B">
        <w:rPr>
          <w:rFonts w:ascii="Arial" w:eastAsia="TimesNewRoman" w:hAnsi="Arial" w:cs="Arial"/>
          <w:sz w:val="22"/>
          <w:szCs w:val="22"/>
          <w:lang w:eastAsia="en-US"/>
        </w:rPr>
        <w:t xml:space="preserve">) </w:t>
      </w:r>
      <w:r w:rsidR="009E2771" w:rsidRPr="00A4399B">
        <w:rPr>
          <w:rFonts w:ascii="Arial" w:eastAsia="TimesNewRoman" w:hAnsi="Arial" w:cs="Arial"/>
          <w:sz w:val="22"/>
          <w:szCs w:val="22"/>
          <w:lang w:eastAsia="en-US"/>
        </w:rPr>
        <w:tab/>
        <w:t>t</w:t>
      </w:r>
      <w:r w:rsidR="00197FB3" w:rsidRPr="00A4399B">
        <w:rPr>
          <w:rFonts w:ascii="Arial" w:eastAsia="TimesNewRoman" w:hAnsi="Arial" w:cs="Arial"/>
          <w:sz w:val="22"/>
          <w:szCs w:val="22"/>
          <w:lang w:eastAsia="en-US"/>
        </w:rPr>
        <w:t xml:space="preserve">he analysis in </w:t>
      </w:r>
      <w:r w:rsidR="00197FB3" w:rsidRPr="00A4399B">
        <w:rPr>
          <w:rFonts w:ascii="Arial" w:eastAsia="TimesNewRoman" w:hAnsi="Arial" w:cs="Arial"/>
          <w:i/>
          <w:iCs/>
          <w:sz w:val="22"/>
          <w:szCs w:val="22"/>
          <w:lang w:eastAsia="en-US"/>
        </w:rPr>
        <w:t xml:space="preserve">PA and MA </w:t>
      </w:r>
      <w:r w:rsidR="00197FB3" w:rsidRPr="00A4399B">
        <w:rPr>
          <w:rFonts w:ascii="Arial" w:eastAsia="TimesNewRoman" w:hAnsi="Arial" w:cs="Arial"/>
          <w:sz w:val="22"/>
          <w:szCs w:val="22"/>
          <w:lang w:eastAsia="en-US"/>
        </w:rPr>
        <w:t>is obiter, flawed</w:t>
      </w:r>
      <w:r w:rsidR="00401648" w:rsidRPr="00A4399B">
        <w:rPr>
          <w:rFonts w:ascii="Arial" w:eastAsia="TimesNewRoman" w:hAnsi="Arial" w:cs="Arial"/>
          <w:sz w:val="22"/>
          <w:szCs w:val="22"/>
          <w:lang w:eastAsia="en-US"/>
        </w:rPr>
        <w:t>,</w:t>
      </w:r>
      <w:r w:rsidR="00401648" w:rsidRPr="00A4399B">
        <w:rPr>
          <w:rFonts w:ascii="Arial" w:hAnsi="Arial" w:cs="Arial"/>
          <w:sz w:val="22"/>
          <w:szCs w:val="22"/>
        </w:rPr>
        <w:t xml:space="preserve"> not binding on other asylum support judges</w:t>
      </w:r>
      <w:r w:rsidR="00197FB3" w:rsidRPr="00A4399B">
        <w:rPr>
          <w:rFonts w:ascii="Arial" w:eastAsia="TimesNewRoman" w:hAnsi="Arial" w:cs="Arial"/>
          <w:sz w:val="22"/>
          <w:szCs w:val="22"/>
          <w:lang w:eastAsia="en-US"/>
        </w:rPr>
        <w:t xml:space="preserve"> and should not be applied.</w:t>
      </w:r>
    </w:p>
    <w:p w14:paraId="446F2F51" w14:textId="7C07A85E" w:rsidR="00197FB3" w:rsidRPr="00A4399B" w:rsidRDefault="00A7205D" w:rsidP="00BB2E59">
      <w:pPr>
        <w:autoSpaceDE w:val="0"/>
        <w:autoSpaceDN w:val="0"/>
        <w:adjustRightInd w:val="0"/>
        <w:ind w:left="1134" w:hanging="425"/>
        <w:jc w:val="both"/>
        <w:rPr>
          <w:rFonts w:ascii="Arial" w:eastAsia="TimesNewRoman" w:hAnsi="Arial" w:cs="Arial"/>
          <w:sz w:val="22"/>
          <w:szCs w:val="22"/>
          <w:lang w:eastAsia="en-US"/>
        </w:rPr>
      </w:pPr>
      <w:r w:rsidRPr="00A4399B">
        <w:rPr>
          <w:rFonts w:ascii="Arial" w:eastAsia="TimesNewRoman" w:hAnsi="Arial" w:cs="Arial"/>
          <w:sz w:val="22"/>
          <w:szCs w:val="22"/>
          <w:lang w:eastAsia="en-US"/>
        </w:rPr>
        <w:t>d</w:t>
      </w:r>
      <w:r w:rsidR="00197FB3" w:rsidRPr="00A4399B">
        <w:rPr>
          <w:rFonts w:ascii="Arial" w:eastAsia="TimesNewRoman" w:hAnsi="Arial" w:cs="Arial"/>
          <w:sz w:val="22"/>
          <w:szCs w:val="22"/>
          <w:lang w:eastAsia="en-US"/>
        </w:rPr>
        <w:t xml:space="preserve">) </w:t>
      </w:r>
      <w:r w:rsidR="00437FB9" w:rsidRPr="00A4399B">
        <w:rPr>
          <w:rFonts w:ascii="Arial" w:eastAsia="TimesNewRoman" w:hAnsi="Arial" w:cs="Arial"/>
          <w:sz w:val="22"/>
          <w:szCs w:val="22"/>
          <w:lang w:eastAsia="en-US"/>
        </w:rPr>
        <w:t xml:space="preserve">  </w:t>
      </w:r>
      <w:r w:rsidR="009E2771" w:rsidRPr="00A4399B">
        <w:rPr>
          <w:rFonts w:ascii="Arial" w:eastAsia="TimesNewRoman" w:hAnsi="Arial" w:cs="Arial"/>
          <w:sz w:val="22"/>
          <w:szCs w:val="22"/>
          <w:lang w:eastAsia="en-US"/>
        </w:rPr>
        <w:t>t</w:t>
      </w:r>
      <w:r w:rsidR="00197FB3" w:rsidRPr="00A4399B">
        <w:rPr>
          <w:rFonts w:ascii="Arial" w:eastAsia="TimesNewRoman" w:hAnsi="Arial" w:cs="Arial"/>
          <w:sz w:val="22"/>
          <w:szCs w:val="22"/>
          <w:lang w:eastAsia="en-US"/>
        </w:rPr>
        <w:t>here is no legal basis for considering, in the context of a statutory appeal</w:t>
      </w:r>
      <w:r w:rsidR="00BB2E59" w:rsidRPr="00A4399B">
        <w:rPr>
          <w:rFonts w:ascii="Arial" w:eastAsia="TimesNewRoman" w:hAnsi="Arial" w:cs="Arial"/>
          <w:sz w:val="22"/>
          <w:szCs w:val="22"/>
          <w:lang w:eastAsia="en-US"/>
        </w:rPr>
        <w:t xml:space="preserve"> </w:t>
      </w:r>
      <w:r w:rsidR="00197FB3" w:rsidRPr="00A4399B">
        <w:rPr>
          <w:rFonts w:ascii="Arial" w:eastAsia="TimesNewRoman" w:hAnsi="Arial" w:cs="Arial"/>
          <w:sz w:val="22"/>
          <w:szCs w:val="22"/>
          <w:lang w:eastAsia="en-US"/>
        </w:rPr>
        <w:t>against the refusal of section 4 support, the impact of the decision on the</w:t>
      </w:r>
      <w:r w:rsidR="00BB2E59" w:rsidRPr="00A4399B">
        <w:rPr>
          <w:rFonts w:ascii="Arial" w:eastAsia="TimesNewRoman" w:hAnsi="Arial" w:cs="Arial"/>
          <w:sz w:val="22"/>
          <w:szCs w:val="22"/>
          <w:lang w:eastAsia="en-US"/>
        </w:rPr>
        <w:t xml:space="preserve"> </w:t>
      </w:r>
      <w:r w:rsidR="00E26D6B" w:rsidRPr="00A4399B">
        <w:rPr>
          <w:rFonts w:ascii="Arial" w:eastAsia="TimesNewRoman" w:hAnsi="Arial" w:cs="Arial"/>
          <w:sz w:val="22"/>
          <w:szCs w:val="22"/>
          <w:lang w:eastAsia="en-US"/>
        </w:rPr>
        <w:t>h</w:t>
      </w:r>
      <w:r w:rsidR="00197FB3" w:rsidRPr="00A4399B">
        <w:rPr>
          <w:rFonts w:ascii="Arial" w:eastAsia="TimesNewRoman" w:hAnsi="Arial" w:cs="Arial"/>
          <w:sz w:val="22"/>
          <w:szCs w:val="22"/>
          <w:lang w:eastAsia="en-US"/>
        </w:rPr>
        <w:t xml:space="preserve">uman </w:t>
      </w:r>
      <w:r w:rsidR="00E26D6B" w:rsidRPr="00A4399B">
        <w:rPr>
          <w:rFonts w:ascii="Arial" w:eastAsia="TimesNewRoman" w:hAnsi="Arial" w:cs="Arial"/>
          <w:sz w:val="22"/>
          <w:szCs w:val="22"/>
          <w:lang w:eastAsia="en-US"/>
        </w:rPr>
        <w:t>r</w:t>
      </w:r>
      <w:r w:rsidR="00197FB3" w:rsidRPr="00A4399B">
        <w:rPr>
          <w:rFonts w:ascii="Arial" w:eastAsia="TimesNewRoman" w:hAnsi="Arial" w:cs="Arial"/>
          <w:sz w:val="22"/>
          <w:szCs w:val="22"/>
          <w:lang w:eastAsia="en-US"/>
        </w:rPr>
        <w:t>ights of the wider community.</w:t>
      </w:r>
    </w:p>
    <w:p w14:paraId="5D56FD41" w14:textId="5BCFD978" w:rsidR="006E5D0F" w:rsidRPr="00A4399B" w:rsidRDefault="00820E68" w:rsidP="00FE6946">
      <w:pPr>
        <w:autoSpaceDE w:val="0"/>
        <w:autoSpaceDN w:val="0"/>
        <w:adjustRightInd w:val="0"/>
        <w:ind w:left="1134" w:hanging="425"/>
        <w:jc w:val="both"/>
        <w:rPr>
          <w:rFonts w:ascii="Arial" w:eastAsia="TimesNewRoman" w:hAnsi="Arial" w:cs="Arial"/>
          <w:sz w:val="22"/>
          <w:szCs w:val="22"/>
          <w:lang w:eastAsia="en-US"/>
        </w:rPr>
      </w:pPr>
      <w:r w:rsidRPr="00A4399B">
        <w:rPr>
          <w:rFonts w:ascii="Arial" w:eastAsia="TimesNewRoman" w:hAnsi="Arial" w:cs="Arial"/>
          <w:sz w:val="22"/>
          <w:szCs w:val="22"/>
          <w:lang w:eastAsia="en-US"/>
        </w:rPr>
        <w:t>e</w:t>
      </w:r>
      <w:r w:rsidR="00197FB3" w:rsidRPr="00A4399B">
        <w:rPr>
          <w:rFonts w:ascii="Arial" w:eastAsia="TimesNewRoman" w:hAnsi="Arial" w:cs="Arial"/>
          <w:sz w:val="22"/>
          <w:szCs w:val="22"/>
          <w:lang w:eastAsia="en-US"/>
        </w:rPr>
        <w:t xml:space="preserve">) </w:t>
      </w:r>
      <w:r w:rsidR="00437FB9" w:rsidRPr="00A4399B">
        <w:rPr>
          <w:rFonts w:ascii="Arial" w:eastAsia="TimesNewRoman" w:hAnsi="Arial" w:cs="Arial"/>
          <w:sz w:val="22"/>
          <w:szCs w:val="22"/>
          <w:lang w:eastAsia="en-US"/>
        </w:rPr>
        <w:t xml:space="preserve">  </w:t>
      </w:r>
      <w:r w:rsidR="009E2771" w:rsidRPr="00A4399B">
        <w:rPr>
          <w:rFonts w:ascii="Arial" w:eastAsia="TimesNewRoman" w:hAnsi="Arial" w:cs="Arial"/>
          <w:sz w:val="22"/>
          <w:szCs w:val="22"/>
          <w:lang w:eastAsia="en-US"/>
        </w:rPr>
        <w:t>a</w:t>
      </w:r>
      <w:r w:rsidR="00197FB3" w:rsidRPr="00A4399B">
        <w:rPr>
          <w:rFonts w:ascii="Arial" w:eastAsia="TimesNewRoman" w:hAnsi="Arial" w:cs="Arial"/>
          <w:sz w:val="22"/>
          <w:szCs w:val="22"/>
          <w:lang w:eastAsia="en-US"/>
        </w:rPr>
        <w:t>lternatively, there is no legal or evidential basis for considering that this</w:t>
      </w:r>
      <w:r w:rsidR="00FE6946" w:rsidRPr="00A4399B">
        <w:rPr>
          <w:rFonts w:ascii="Arial" w:eastAsia="TimesNewRoman" w:hAnsi="Arial" w:cs="Arial"/>
          <w:sz w:val="22"/>
          <w:szCs w:val="22"/>
          <w:lang w:eastAsia="en-US"/>
        </w:rPr>
        <w:t xml:space="preserve"> </w:t>
      </w:r>
      <w:r w:rsidR="00197FB3" w:rsidRPr="00A4399B">
        <w:rPr>
          <w:rFonts w:ascii="Arial" w:eastAsia="TimesNewRoman" w:hAnsi="Arial" w:cs="Arial"/>
          <w:sz w:val="22"/>
          <w:szCs w:val="22"/>
          <w:lang w:eastAsia="en-US"/>
        </w:rPr>
        <w:t>decision to refuse/withdraw support under appeal engages the</w:t>
      </w:r>
      <w:r w:rsidR="00437FB9" w:rsidRPr="00A4399B">
        <w:rPr>
          <w:rFonts w:ascii="Arial" w:eastAsia="TimesNewRoman" w:hAnsi="Arial" w:cs="Arial"/>
          <w:sz w:val="22"/>
          <w:szCs w:val="22"/>
          <w:lang w:eastAsia="en-US"/>
        </w:rPr>
        <w:t xml:space="preserve"> </w:t>
      </w:r>
      <w:r w:rsidR="00197FB3" w:rsidRPr="00A4399B">
        <w:rPr>
          <w:rFonts w:ascii="Arial" w:eastAsia="TimesNewRoman" w:hAnsi="Arial" w:cs="Arial"/>
          <w:sz w:val="22"/>
          <w:szCs w:val="22"/>
          <w:lang w:eastAsia="en-US"/>
        </w:rPr>
        <w:t xml:space="preserve">rights of the </w:t>
      </w:r>
      <w:r w:rsidR="00524AFA" w:rsidRPr="00A4399B">
        <w:rPr>
          <w:rFonts w:ascii="Arial" w:eastAsia="TimesNewRoman" w:hAnsi="Arial" w:cs="Arial"/>
          <w:sz w:val="22"/>
          <w:szCs w:val="22"/>
          <w:lang w:eastAsia="en-US"/>
        </w:rPr>
        <w:t>a</w:t>
      </w:r>
      <w:r w:rsidR="00197FB3" w:rsidRPr="00A4399B">
        <w:rPr>
          <w:rFonts w:ascii="Arial" w:eastAsia="TimesNewRoman" w:hAnsi="Arial" w:cs="Arial"/>
          <w:sz w:val="22"/>
          <w:szCs w:val="22"/>
          <w:lang w:eastAsia="en-US"/>
        </w:rPr>
        <w:t>ppellant or the wider community under Articles 2, 3 and 8</w:t>
      </w:r>
      <w:r w:rsidR="00524AFA" w:rsidRPr="00A4399B">
        <w:rPr>
          <w:rFonts w:ascii="Arial" w:eastAsia="TimesNewRoman" w:hAnsi="Arial" w:cs="Arial"/>
          <w:sz w:val="22"/>
          <w:szCs w:val="22"/>
          <w:lang w:eastAsia="en-US"/>
        </w:rPr>
        <w:t xml:space="preserve"> ECHR</w:t>
      </w:r>
      <w:r w:rsidR="00197FB3" w:rsidRPr="00A4399B">
        <w:rPr>
          <w:rFonts w:ascii="Arial" w:eastAsia="TimesNewRoman" w:hAnsi="Arial" w:cs="Arial"/>
          <w:sz w:val="22"/>
          <w:szCs w:val="22"/>
          <w:lang w:eastAsia="en-US"/>
        </w:rPr>
        <w:t>.</w:t>
      </w:r>
    </w:p>
    <w:p w14:paraId="5B92383A" w14:textId="6CA2E82E" w:rsidR="00FD01BE" w:rsidRPr="00A4399B" w:rsidRDefault="00FD01BE" w:rsidP="00FD01BE">
      <w:pPr>
        <w:tabs>
          <w:tab w:val="num" w:pos="720"/>
        </w:tabs>
        <w:jc w:val="both"/>
        <w:rPr>
          <w:rFonts w:ascii="Arial" w:hAnsi="Arial" w:cs="Arial"/>
          <w:sz w:val="22"/>
          <w:szCs w:val="22"/>
        </w:rPr>
      </w:pPr>
    </w:p>
    <w:p w14:paraId="40B21DA1" w14:textId="77777777" w:rsidR="00E66F70" w:rsidRPr="00A4399B" w:rsidRDefault="00E66F70" w:rsidP="00FD01BE">
      <w:pPr>
        <w:tabs>
          <w:tab w:val="num" w:pos="720"/>
        </w:tabs>
        <w:jc w:val="both"/>
        <w:rPr>
          <w:rFonts w:ascii="Arial" w:hAnsi="Arial" w:cs="Arial"/>
          <w:sz w:val="22"/>
          <w:szCs w:val="22"/>
        </w:rPr>
      </w:pPr>
    </w:p>
    <w:p w14:paraId="6CF2429D" w14:textId="50A0DFF2" w:rsidR="001329D5" w:rsidRPr="00A4399B" w:rsidRDefault="001329D5" w:rsidP="001329D5">
      <w:pPr>
        <w:tabs>
          <w:tab w:val="num" w:pos="567"/>
          <w:tab w:val="num" w:pos="720"/>
        </w:tabs>
        <w:jc w:val="both"/>
        <w:rPr>
          <w:rFonts w:ascii="Arial Black" w:hAnsi="Arial Black" w:cs="Arial"/>
          <w:b/>
          <w:smallCaps/>
          <w:sz w:val="22"/>
          <w:szCs w:val="22"/>
        </w:rPr>
      </w:pPr>
      <w:r w:rsidRPr="00A4399B">
        <w:rPr>
          <w:rFonts w:ascii="Arial Black" w:hAnsi="Arial Black" w:cs="Arial"/>
          <w:b/>
          <w:smallCaps/>
          <w:sz w:val="22"/>
          <w:szCs w:val="22"/>
        </w:rPr>
        <w:t xml:space="preserve">The </w:t>
      </w:r>
      <w:r w:rsidR="00337074" w:rsidRPr="00A4399B">
        <w:rPr>
          <w:rFonts w:ascii="Arial Black" w:hAnsi="Arial Black" w:cs="Arial"/>
          <w:b/>
          <w:smallCaps/>
          <w:sz w:val="22"/>
          <w:szCs w:val="22"/>
        </w:rPr>
        <w:t>appellant’s submis</w:t>
      </w:r>
      <w:r w:rsidRPr="00A4399B">
        <w:rPr>
          <w:rFonts w:ascii="Arial Black" w:hAnsi="Arial Black" w:cs="Arial"/>
          <w:b/>
          <w:smallCaps/>
          <w:sz w:val="22"/>
          <w:szCs w:val="22"/>
        </w:rPr>
        <w:t xml:space="preserve">sions and response to the first directions </w:t>
      </w:r>
    </w:p>
    <w:p w14:paraId="7050F5CA" w14:textId="77777777" w:rsidR="001329D5" w:rsidRPr="00A4399B" w:rsidRDefault="001329D5" w:rsidP="001329D5">
      <w:pPr>
        <w:tabs>
          <w:tab w:val="num" w:pos="720"/>
        </w:tabs>
        <w:jc w:val="both"/>
        <w:rPr>
          <w:rFonts w:ascii="Arial" w:hAnsi="Arial" w:cs="Arial"/>
          <w:sz w:val="22"/>
          <w:szCs w:val="22"/>
        </w:rPr>
      </w:pPr>
    </w:p>
    <w:p w14:paraId="34FCC9F6" w14:textId="3A4E0D1C" w:rsidR="0087492C" w:rsidRPr="00A4399B" w:rsidRDefault="0083391D" w:rsidP="00D44CFA">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 xml:space="preserve">On 9 March </w:t>
      </w:r>
      <w:r w:rsidR="00A20DA0" w:rsidRPr="00A4399B">
        <w:rPr>
          <w:rFonts w:ascii="Arial" w:hAnsi="Arial" w:cs="Arial"/>
          <w:sz w:val="22"/>
          <w:szCs w:val="22"/>
        </w:rPr>
        <w:t xml:space="preserve">2021, </w:t>
      </w:r>
      <w:r w:rsidR="00803374" w:rsidRPr="00A4399B">
        <w:rPr>
          <w:rFonts w:ascii="Arial" w:hAnsi="Arial" w:cs="Arial"/>
          <w:sz w:val="22"/>
          <w:szCs w:val="22"/>
        </w:rPr>
        <w:t xml:space="preserve">Mr Simon Cox, </w:t>
      </w:r>
      <w:r w:rsidR="00DD0BCB" w:rsidRPr="00A4399B">
        <w:rPr>
          <w:rFonts w:ascii="Arial" w:hAnsi="Arial" w:cs="Arial"/>
          <w:sz w:val="22"/>
          <w:szCs w:val="22"/>
        </w:rPr>
        <w:t xml:space="preserve">filed </w:t>
      </w:r>
      <w:r w:rsidR="00FB4C08" w:rsidRPr="00A4399B">
        <w:rPr>
          <w:rFonts w:ascii="Arial" w:hAnsi="Arial" w:cs="Arial"/>
          <w:sz w:val="22"/>
          <w:szCs w:val="22"/>
        </w:rPr>
        <w:t>his reply to the first directions</w:t>
      </w:r>
      <w:r w:rsidR="00DF66E5" w:rsidRPr="00A4399B">
        <w:rPr>
          <w:rFonts w:ascii="Arial" w:hAnsi="Arial" w:cs="Arial"/>
          <w:sz w:val="22"/>
          <w:szCs w:val="22"/>
        </w:rPr>
        <w:t xml:space="preserve">, </w:t>
      </w:r>
      <w:r w:rsidR="00A91AD0" w:rsidRPr="00A4399B">
        <w:rPr>
          <w:rFonts w:ascii="Arial" w:hAnsi="Arial" w:cs="Arial"/>
          <w:sz w:val="22"/>
          <w:szCs w:val="22"/>
        </w:rPr>
        <w:t>applied for further directions</w:t>
      </w:r>
      <w:r w:rsidR="00DD0BCB" w:rsidRPr="00A4399B">
        <w:rPr>
          <w:rFonts w:ascii="Arial" w:hAnsi="Arial" w:cs="Arial"/>
          <w:sz w:val="22"/>
          <w:szCs w:val="22"/>
        </w:rPr>
        <w:t xml:space="preserve"> </w:t>
      </w:r>
      <w:r w:rsidR="00DF66E5" w:rsidRPr="00A4399B">
        <w:rPr>
          <w:rFonts w:ascii="Arial" w:hAnsi="Arial" w:cs="Arial"/>
          <w:sz w:val="22"/>
          <w:szCs w:val="22"/>
        </w:rPr>
        <w:t xml:space="preserve">and </w:t>
      </w:r>
      <w:r w:rsidR="00617AA2" w:rsidRPr="00A4399B">
        <w:rPr>
          <w:rFonts w:ascii="Arial" w:hAnsi="Arial" w:cs="Arial"/>
          <w:sz w:val="22"/>
          <w:szCs w:val="22"/>
        </w:rPr>
        <w:t>for permission to advance additional grounds of appeal</w:t>
      </w:r>
      <w:r w:rsidR="009B2D0F" w:rsidRPr="00A4399B">
        <w:rPr>
          <w:rFonts w:ascii="Arial" w:hAnsi="Arial" w:cs="Arial"/>
          <w:sz w:val="22"/>
          <w:szCs w:val="22"/>
        </w:rPr>
        <w:t>.</w:t>
      </w:r>
      <w:r w:rsidR="003724C9" w:rsidRPr="00A4399B">
        <w:rPr>
          <w:rFonts w:ascii="Arial" w:hAnsi="Arial" w:cs="Arial"/>
          <w:sz w:val="22"/>
          <w:szCs w:val="22"/>
        </w:rPr>
        <w:t xml:space="preserve"> </w:t>
      </w:r>
      <w:r w:rsidR="0016307A" w:rsidRPr="00A4399B">
        <w:rPr>
          <w:rFonts w:ascii="Arial" w:hAnsi="Arial" w:cs="Arial"/>
          <w:sz w:val="22"/>
          <w:szCs w:val="22"/>
        </w:rPr>
        <w:t xml:space="preserve">Mr Cox submitted </w:t>
      </w:r>
      <w:r w:rsidR="004410B0" w:rsidRPr="00A4399B">
        <w:rPr>
          <w:rFonts w:ascii="Arial" w:hAnsi="Arial" w:cs="Arial"/>
          <w:sz w:val="22"/>
          <w:szCs w:val="22"/>
        </w:rPr>
        <w:t xml:space="preserve">that the </w:t>
      </w:r>
      <w:r w:rsidR="00223379">
        <w:rPr>
          <w:rFonts w:ascii="Arial" w:hAnsi="Arial" w:cs="Arial"/>
          <w:sz w:val="22"/>
          <w:szCs w:val="22"/>
        </w:rPr>
        <w:t>SSHD</w:t>
      </w:r>
      <w:r w:rsidR="00892888" w:rsidRPr="00A4399B">
        <w:rPr>
          <w:rFonts w:ascii="Arial" w:hAnsi="Arial" w:cs="Arial"/>
          <w:sz w:val="22"/>
          <w:szCs w:val="22"/>
        </w:rPr>
        <w:t>’</w:t>
      </w:r>
      <w:r w:rsidR="004410B0" w:rsidRPr="00A4399B">
        <w:rPr>
          <w:rFonts w:ascii="Arial" w:hAnsi="Arial" w:cs="Arial"/>
          <w:sz w:val="22"/>
          <w:szCs w:val="22"/>
        </w:rPr>
        <w:t xml:space="preserve">s legal team had </w:t>
      </w:r>
      <w:r w:rsidR="000C5850" w:rsidRPr="00A4399B">
        <w:rPr>
          <w:rFonts w:ascii="Arial" w:hAnsi="Arial" w:cs="Arial"/>
          <w:sz w:val="22"/>
          <w:szCs w:val="22"/>
        </w:rPr>
        <w:t xml:space="preserve">misled the Tribunal </w:t>
      </w:r>
      <w:r w:rsidR="00F46F09" w:rsidRPr="00A4399B">
        <w:rPr>
          <w:rFonts w:ascii="Arial" w:hAnsi="Arial" w:cs="Arial"/>
          <w:sz w:val="22"/>
          <w:szCs w:val="22"/>
        </w:rPr>
        <w:t>in</w:t>
      </w:r>
      <w:r w:rsidR="00892888" w:rsidRPr="00A4399B">
        <w:rPr>
          <w:rFonts w:ascii="Arial" w:hAnsi="Arial" w:cs="Arial"/>
          <w:sz w:val="22"/>
          <w:szCs w:val="22"/>
        </w:rPr>
        <w:t xml:space="preserve"> suggesting</w:t>
      </w:r>
      <w:r w:rsidR="00F46F09" w:rsidRPr="00A4399B">
        <w:rPr>
          <w:rFonts w:ascii="Arial" w:hAnsi="Arial" w:cs="Arial"/>
          <w:sz w:val="22"/>
          <w:szCs w:val="22"/>
        </w:rPr>
        <w:t xml:space="preserve"> that </w:t>
      </w:r>
      <w:r w:rsidR="007142BD" w:rsidRPr="00A4399B">
        <w:rPr>
          <w:rFonts w:ascii="Arial" w:hAnsi="Arial" w:cs="Arial"/>
          <w:i/>
          <w:sz w:val="22"/>
          <w:szCs w:val="22"/>
        </w:rPr>
        <w:t xml:space="preserve">PA and MA </w:t>
      </w:r>
      <w:r w:rsidR="00D81E57" w:rsidRPr="00A4399B">
        <w:rPr>
          <w:rFonts w:ascii="Arial" w:hAnsi="Arial" w:cs="Arial"/>
          <w:sz w:val="22"/>
          <w:szCs w:val="22"/>
        </w:rPr>
        <w:t>were materially flawed and that</w:t>
      </w:r>
      <w:r w:rsidR="00D81E57" w:rsidRPr="00A4399B">
        <w:rPr>
          <w:rFonts w:ascii="Arial" w:hAnsi="Arial" w:cs="Arial"/>
          <w:i/>
          <w:sz w:val="22"/>
          <w:szCs w:val="22"/>
        </w:rPr>
        <w:t xml:space="preserve"> </w:t>
      </w:r>
      <w:r w:rsidR="00D81E57" w:rsidRPr="00A4399B">
        <w:rPr>
          <w:rFonts w:ascii="Arial" w:hAnsi="Arial" w:cs="Arial"/>
          <w:sz w:val="22"/>
          <w:szCs w:val="22"/>
        </w:rPr>
        <w:t>the SSHD had invited the High Court to quash</w:t>
      </w:r>
      <w:r w:rsidR="008A415B" w:rsidRPr="00A4399B">
        <w:rPr>
          <w:rFonts w:ascii="Arial" w:hAnsi="Arial" w:cs="Arial"/>
          <w:sz w:val="22"/>
          <w:szCs w:val="22"/>
        </w:rPr>
        <w:t xml:space="preserve"> the decisions</w:t>
      </w:r>
      <w:r w:rsidR="00D81E57" w:rsidRPr="00A4399B">
        <w:rPr>
          <w:rFonts w:ascii="Arial" w:hAnsi="Arial" w:cs="Arial"/>
          <w:sz w:val="22"/>
          <w:szCs w:val="22"/>
        </w:rPr>
        <w:t xml:space="preserve"> </w:t>
      </w:r>
      <w:r w:rsidR="00BA461F" w:rsidRPr="00A4399B">
        <w:rPr>
          <w:rFonts w:ascii="Arial" w:hAnsi="Arial" w:cs="Arial"/>
          <w:sz w:val="22"/>
          <w:szCs w:val="22"/>
        </w:rPr>
        <w:t>in</w:t>
      </w:r>
      <w:r w:rsidR="006C09D0" w:rsidRPr="00A4399B">
        <w:rPr>
          <w:rFonts w:ascii="Arial" w:hAnsi="Arial" w:cs="Arial"/>
          <w:sz w:val="22"/>
          <w:szCs w:val="22"/>
        </w:rPr>
        <w:t xml:space="preserve"> judicial review proceeding</w:t>
      </w:r>
      <w:r w:rsidR="001C3178" w:rsidRPr="00A4399B">
        <w:rPr>
          <w:rFonts w:ascii="Arial" w:hAnsi="Arial" w:cs="Arial"/>
          <w:sz w:val="22"/>
          <w:szCs w:val="22"/>
        </w:rPr>
        <w:t xml:space="preserve"> by consent</w:t>
      </w:r>
      <w:r w:rsidR="006C09D0" w:rsidRPr="00A4399B">
        <w:rPr>
          <w:rFonts w:ascii="Arial" w:hAnsi="Arial" w:cs="Arial"/>
          <w:i/>
          <w:sz w:val="22"/>
          <w:szCs w:val="22"/>
        </w:rPr>
        <w:t xml:space="preserve"> </w:t>
      </w:r>
      <w:r w:rsidR="00076998" w:rsidRPr="00A4399B">
        <w:rPr>
          <w:rFonts w:ascii="Arial" w:hAnsi="Arial" w:cs="Arial"/>
          <w:sz w:val="22"/>
          <w:szCs w:val="22"/>
        </w:rPr>
        <w:t>pursuant to CPR 54.18</w:t>
      </w:r>
      <w:r w:rsidR="00C2009F">
        <w:rPr>
          <w:rFonts w:ascii="Arial" w:hAnsi="Arial" w:cs="Arial"/>
          <w:sz w:val="22"/>
          <w:szCs w:val="22"/>
        </w:rPr>
        <w:t>.</w:t>
      </w:r>
      <w:r w:rsidR="00B206EC">
        <w:rPr>
          <w:rFonts w:ascii="Arial" w:hAnsi="Arial" w:cs="Arial"/>
          <w:sz w:val="22"/>
          <w:szCs w:val="22"/>
        </w:rPr>
        <w:t xml:space="preserve"> According to Mr Cox,</w:t>
      </w:r>
      <w:r w:rsidR="00EE61D9" w:rsidRPr="00A4399B">
        <w:rPr>
          <w:rFonts w:ascii="Arial" w:hAnsi="Arial" w:cs="Arial"/>
          <w:sz w:val="22"/>
          <w:szCs w:val="22"/>
        </w:rPr>
        <w:t xml:space="preserve"> no </w:t>
      </w:r>
      <w:r w:rsidR="004D6EBF" w:rsidRPr="00A4399B">
        <w:rPr>
          <w:rFonts w:ascii="Arial" w:hAnsi="Arial" w:cs="Arial"/>
          <w:sz w:val="22"/>
          <w:szCs w:val="22"/>
        </w:rPr>
        <w:t xml:space="preserve">judicial review </w:t>
      </w:r>
      <w:r w:rsidR="00EE61D9" w:rsidRPr="00A4399B">
        <w:rPr>
          <w:rFonts w:ascii="Arial" w:hAnsi="Arial" w:cs="Arial"/>
          <w:sz w:val="22"/>
          <w:szCs w:val="22"/>
        </w:rPr>
        <w:t xml:space="preserve">proceedings </w:t>
      </w:r>
      <w:r w:rsidR="00D273FE" w:rsidRPr="00A4399B">
        <w:rPr>
          <w:rFonts w:ascii="Arial" w:hAnsi="Arial" w:cs="Arial"/>
          <w:sz w:val="22"/>
          <w:szCs w:val="22"/>
        </w:rPr>
        <w:t xml:space="preserve">were issued by </w:t>
      </w:r>
      <w:r w:rsidR="00355750" w:rsidRPr="00A4399B">
        <w:rPr>
          <w:rFonts w:ascii="Arial" w:hAnsi="Arial" w:cs="Arial"/>
          <w:sz w:val="22"/>
          <w:szCs w:val="22"/>
        </w:rPr>
        <w:t>the SSHD</w:t>
      </w:r>
      <w:r w:rsidR="00D273FE" w:rsidRPr="00A4399B">
        <w:rPr>
          <w:rFonts w:ascii="Arial" w:hAnsi="Arial" w:cs="Arial"/>
          <w:sz w:val="22"/>
          <w:szCs w:val="22"/>
        </w:rPr>
        <w:t xml:space="preserve"> </w:t>
      </w:r>
      <w:r w:rsidR="00A871DE" w:rsidRPr="00A4399B">
        <w:rPr>
          <w:rFonts w:ascii="Arial" w:hAnsi="Arial" w:cs="Arial"/>
          <w:sz w:val="22"/>
          <w:szCs w:val="22"/>
        </w:rPr>
        <w:t>challeng</w:t>
      </w:r>
      <w:r w:rsidR="00DA3DDD" w:rsidRPr="00A4399B">
        <w:rPr>
          <w:rFonts w:ascii="Arial" w:hAnsi="Arial" w:cs="Arial"/>
          <w:sz w:val="22"/>
          <w:szCs w:val="22"/>
        </w:rPr>
        <w:t>ing</w:t>
      </w:r>
      <w:r w:rsidR="00A871DE" w:rsidRPr="00A4399B">
        <w:rPr>
          <w:rFonts w:ascii="Arial" w:hAnsi="Arial" w:cs="Arial"/>
          <w:sz w:val="22"/>
          <w:szCs w:val="22"/>
        </w:rPr>
        <w:t xml:space="preserve"> </w:t>
      </w:r>
      <w:r w:rsidR="00FC04AA" w:rsidRPr="00A4399B">
        <w:rPr>
          <w:rFonts w:ascii="Arial" w:hAnsi="Arial" w:cs="Arial"/>
          <w:sz w:val="22"/>
          <w:szCs w:val="22"/>
        </w:rPr>
        <w:t xml:space="preserve">the </w:t>
      </w:r>
      <w:r w:rsidR="00760FBC" w:rsidRPr="00A4399B">
        <w:rPr>
          <w:rFonts w:ascii="Arial" w:hAnsi="Arial" w:cs="Arial"/>
          <w:sz w:val="22"/>
          <w:szCs w:val="22"/>
        </w:rPr>
        <w:t>lawfulness of the Tribu</w:t>
      </w:r>
      <w:r w:rsidR="00C94A15" w:rsidRPr="00A4399B">
        <w:rPr>
          <w:rFonts w:ascii="Arial" w:hAnsi="Arial" w:cs="Arial"/>
          <w:sz w:val="22"/>
          <w:szCs w:val="22"/>
        </w:rPr>
        <w:t xml:space="preserve">nal’s </w:t>
      </w:r>
      <w:r w:rsidR="00FC04AA" w:rsidRPr="00A4399B">
        <w:rPr>
          <w:rFonts w:ascii="Arial" w:hAnsi="Arial" w:cs="Arial"/>
          <w:sz w:val="22"/>
          <w:szCs w:val="22"/>
        </w:rPr>
        <w:t>decisions</w:t>
      </w:r>
      <w:r w:rsidR="000B079D" w:rsidRPr="00A4399B">
        <w:rPr>
          <w:rFonts w:ascii="Arial" w:hAnsi="Arial" w:cs="Arial"/>
          <w:sz w:val="22"/>
          <w:szCs w:val="22"/>
        </w:rPr>
        <w:t xml:space="preserve">. The only judicial review before the </w:t>
      </w:r>
      <w:r w:rsidR="00CC136B" w:rsidRPr="00A4399B">
        <w:rPr>
          <w:rFonts w:ascii="Arial" w:hAnsi="Arial" w:cs="Arial"/>
          <w:sz w:val="22"/>
          <w:szCs w:val="22"/>
        </w:rPr>
        <w:t>A</w:t>
      </w:r>
      <w:r w:rsidR="000B079D" w:rsidRPr="00A4399B">
        <w:rPr>
          <w:rFonts w:ascii="Arial" w:hAnsi="Arial" w:cs="Arial"/>
          <w:sz w:val="22"/>
          <w:szCs w:val="22"/>
        </w:rPr>
        <w:t xml:space="preserve">dministrative </w:t>
      </w:r>
      <w:r w:rsidR="00CC136B" w:rsidRPr="00A4399B">
        <w:rPr>
          <w:rFonts w:ascii="Arial" w:hAnsi="Arial" w:cs="Arial"/>
          <w:sz w:val="22"/>
          <w:szCs w:val="22"/>
        </w:rPr>
        <w:lastRenderedPageBreak/>
        <w:t>C</w:t>
      </w:r>
      <w:r w:rsidR="000B079D" w:rsidRPr="00A4399B">
        <w:rPr>
          <w:rFonts w:ascii="Arial" w:hAnsi="Arial" w:cs="Arial"/>
          <w:sz w:val="22"/>
          <w:szCs w:val="22"/>
        </w:rPr>
        <w:t>ourt</w:t>
      </w:r>
      <w:r w:rsidR="001F3088" w:rsidRPr="00A4399B">
        <w:rPr>
          <w:rFonts w:ascii="Arial" w:hAnsi="Arial" w:cs="Arial"/>
          <w:sz w:val="22"/>
          <w:szCs w:val="22"/>
        </w:rPr>
        <w:t>,</w:t>
      </w:r>
      <w:r w:rsidR="000B079D" w:rsidRPr="00A4399B">
        <w:rPr>
          <w:rFonts w:ascii="Arial" w:hAnsi="Arial" w:cs="Arial"/>
          <w:sz w:val="22"/>
          <w:szCs w:val="22"/>
        </w:rPr>
        <w:t xml:space="preserve"> </w:t>
      </w:r>
      <w:r w:rsidR="00A677E8" w:rsidRPr="00A4399B">
        <w:rPr>
          <w:rFonts w:ascii="Arial" w:hAnsi="Arial" w:cs="Arial"/>
          <w:sz w:val="22"/>
          <w:szCs w:val="22"/>
        </w:rPr>
        <w:t>he said</w:t>
      </w:r>
      <w:r w:rsidR="008E3A82" w:rsidRPr="00A4399B">
        <w:rPr>
          <w:rFonts w:ascii="Arial" w:hAnsi="Arial" w:cs="Arial"/>
          <w:sz w:val="22"/>
          <w:szCs w:val="22"/>
        </w:rPr>
        <w:t>,</w:t>
      </w:r>
      <w:r w:rsidR="00A677E8" w:rsidRPr="00A4399B">
        <w:rPr>
          <w:rFonts w:ascii="Arial" w:hAnsi="Arial" w:cs="Arial"/>
          <w:sz w:val="22"/>
          <w:szCs w:val="22"/>
        </w:rPr>
        <w:t xml:space="preserve"> </w:t>
      </w:r>
      <w:r w:rsidR="000B079D" w:rsidRPr="00A4399B">
        <w:rPr>
          <w:rFonts w:ascii="Arial" w:hAnsi="Arial" w:cs="Arial"/>
          <w:sz w:val="22"/>
          <w:szCs w:val="22"/>
        </w:rPr>
        <w:t xml:space="preserve">was issued </w:t>
      </w:r>
      <w:r w:rsidR="00CC136B" w:rsidRPr="00A4399B">
        <w:rPr>
          <w:rFonts w:ascii="Arial" w:hAnsi="Arial" w:cs="Arial"/>
          <w:sz w:val="22"/>
          <w:szCs w:val="22"/>
        </w:rPr>
        <w:t>by</w:t>
      </w:r>
      <w:r w:rsidR="00B128AE" w:rsidRPr="00A4399B">
        <w:rPr>
          <w:rFonts w:ascii="Arial" w:hAnsi="Arial" w:cs="Arial"/>
          <w:sz w:val="22"/>
          <w:szCs w:val="22"/>
        </w:rPr>
        <w:t xml:space="preserve"> </w:t>
      </w:r>
      <w:r w:rsidR="003A022B" w:rsidRPr="00A4399B">
        <w:rPr>
          <w:rFonts w:ascii="Arial" w:hAnsi="Arial" w:cs="Arial"/>
          <w:i/>
          <w:sz w:val="22"/>
          <w:szCs w:val="22"/>
        </w:rPr>
        <w:t>PA and MA</w:t>
      </w:r>
      <w:r w:rsidR="003A022B" w:rsidRPr="00A4399B">
        <w:rPr>
          <w:rFonts w:ascii="Arial" w:hAnsi="Arial" w:cs="Arial"/>
          <w:sz w:val="22"/>
          <w:szCs w:val="22"/>
        </w:rPr>
        <w:t xml:space="preserve"> </w:t>
      </w:r>
      <w:r w:rsidR="00FA7914" w:rsidRPr="00A4399B">
        <w:rPr>
          <w:rFonts w:ascii="Arial" w:hAnsi="Arial" w:cs="Arial"/>
          <w:sz w:val="22"/>
          <w:szCs w:val="22"/>
        </w:rPr>
        <w:t>(</w:t>
      </w:r>
      <w:r w:rsidR="00142E4E" w:rsidRPr="00A4399B">
        <w:rPr>
          <w:rFonts w:ascii="Arial" w:hAnsi="Arial" w:cs="Arial"/>
          <w:sz w:val="22"/>
          <w:szCs w:val="22"/>
        </w:rPr>
        <w:t>for whom</w:t>
      </w:r>
      <w:r w:rsidR="005672C4" w:rsidRPr="00A4399B">
        <w:rPr>
          <w:rFonts w:ascii="Arial" w:hAnsi="Arial" w:cs="Arial"/>
          <w:sz w:val="22"/>
          <w:szCs w:val="22"/>
        </w:rPr>
        <w:t xml:space="preserve"> </w:t>
      </w:r>
      <w:r w:rsidR="00965E3A" w:rsidRPr="00A4399B">
        <w:rPr>
          <w:rFonts w:ascii="Arial" w:hAnsi="Arial" w:cs="Arial"/>
          <w:sz w:val="22"/>
          <w:szCs w:val="22"/>
        </w:rPr>
        <w:t>Mr Cox</w:t>
      </w:r>
      <w:r w:rsidR="008743A7" w:rsidRPr="00A4399B">
        <w:rPr>
          <w:rFonts w:ascii="Arial" w:hAnsi="Arial" w:cs="Arial"/>
          <w:sz w:val="22"/>
          <w:szCs w:val="22"/>
        </w:rPr>
        <w:t xml:space="preserve"> also acted</w:t>
      </w:r>
      <w:r w:rsidR="00D94D42" w:rsidRPr="00A4399B">
        <w:rPr>
          <w:rFonts w:ascii="Arial" w:hAnsi="Arial" w:cs="Arial"/>
          <w:sz w:val="22"/>
          <w:szCs w:val="22"/>
        </w:rPr>
        <w:t>)</w:t>
      </w:r>
      <w:r w:rsidR="00551FA7" w:rsidRPr="00A4399B">
        <w:rPr>
          <w:rFonts w:ascii="Arial" w:hAnsi="Arial" w:cs="Arial"/>
          <w:sz w:val="22"/>
          <w:szCs w:val="22"/>
        </w:rPr>
        <w:t>,</w:t>
      </w:r>
      <w:r w:rsidR="008743A7" w:rsidRPr="00A4399B">
        <w:rPr>
          <w:rFonts w:ascii="Arial" w:hAnsi="Arial" w:cs="Arial"/>
          <w:sz w:val="22"/>
          <w:szCs w:val="22"/>
        </w:rPr>
        <w:t xml:space="preserve"> </w:t>
      </w:r>
      <w:r w:rsidR="007B3E47" w:rsidRPr="00A4399B">
        <w:rPr>
          <w:rFonts w:ascii="Arial" w:hAnsi="Arial" w:cs="Arial"/>
          <w:sz w:val="22"/>
          <w:szCs w:val="22"/>
        </w:rPr>
        <w:t xml:space="preserve">and they did not </w:t>
      </w:r>
      <w:r w:rsidR="005672C4" w:rsidRPr="00A4399B">
        <w:rPr>
          <w:rFonts w:ascii="Arial" w:hAnsi="Arial" w:cs="Arial"/>
          <w:sz w:val="22"/>
          <w:szCs w:val="22"/>
        </w:rPr>
        <w:t>consent t</w:t>
      </w:r>
      <w:r w:rsidR="00FF2703" w:rsidRPr="00A4399B">
        <w:rPr>
          <w:rFonts w:ascii="Arial" w:hAnsi="Arial" w:cs="Arial"/>
          <w:sz w:val="22"/>
          <w:szCs w:val="22"/>
        </w:rPr>
        <w:t>o</w:t>
      </w:r>
      <w:r w:rsidR="000F36AF" w:rsidRPr="00A4399B">
        <w:rPr>
          <w:rFonts w:ascii="Arial" w:hAnsi="Arial" w:cs="Arial"/>
          <w:sz w:val="22"/>
          <w:szCs w:val="22"/>
        </w:rPr>
        <w:t xml:space="preserve"> the decisions </w:t>
      </w:r>
      <w:r w:rsidR="005B24DE" w:rsidRPr="00A4399B">
        <w:rPr>
          <w:rFonts w:ascii="Arial" w:hAnsi="Arial" w:cs="Arial"/>
          <w:sz w:val="22"/>
          <w:szCs w:val="22"/>
        </w:rPr>
        <w:t xml:space="preserve">being quashed. </w:t>
      </w:r>
    </w:p>
    <w:p w14:paraId="0ED6D2CF" w14:textId="77777777" w:rsidR="0087492C" w:rsidRPr="00A4399B" w:rsidRDefault="0087492C" w:rsidP="0087492C">
      <w:pPr>
        <w:tabs>
          <w:tab w:val="num" w:pos="720"/>
        </w:tabs>
        <w:jc w:val="both"/>
        <w:rPr>
          <w:rFonts w:ascii="Arial" w:hAnsi="Arial" w:cs="Arial"/>
          <w:sz w:val="22"/>
          <w:szCs w:val="22"/>
        </w:rPr>
      </w:pPr>
    </w:p>
    <w:p w14:paraId="6ADE0EED" w14:textId="73127780" w:rsidR="00BE2FCA" w:rsidRPr="00A4399B" w:rsidRDefault="005B24DE" w:rsidP="00D44CFA">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 xml:space="preserve">Furthermore, </w:t>
      </w:r>
      <w:r w:rsidR="00781E7A" w:rsidRPr="00A4399B">
        <w:rPr>
          <w:rFonts w:ascii="Arial" w:hAnsi="Arial" w:cs="Arial"/>
          <w:sz w:val="22"/>
          <w:szCs w:val="22"/>
        </w:rPr>
        <w:t>he</w:t>
      </w:r>
      <w:r w:rsidRPr="00A4399B">
        <w:rPr>
          <w:rFonts w:ascii="Arial" w:hAnsi="Arial" w:cs="Arial"/>
          <w:sz w:val="22"/>
          <w:szCs w:val="22"/>
        </w:rPr>
        <w:t xml:space="preserve"> </w:t>
      </w:r>
      <w:r w:rsidR="00B77A43" w:rsidRPr="00A4399B">
        <w:rPr>
          <w:rFonts w:ascii="Arial" w:hAnsi="Arial" w:cs="Arial"/>
          <w:sz w:val="22"/>
          <w:szCs w:val="22"/>
        </w:rPr>
        <w:t>maintained</w:t>
      </w:r>
      <w:r w:rsidR="002A077B" w:rsidRPr="00A4399B">
        <w:rPr>
          <w:rFonts w:ascii="Arial" w:hAnsi="Arial" w:cs="Arial"/>
          <w:sz w:val="22"/>
          <w:szCs w:val="22"/>
        </w:rPr>
        <w:t xml:space="preserve"> the SSHD </w:t>
      </w:r>
      <w:r w:rsidR="00053EF6" w:rsidRPr="00A4399B">
        <w:rPr>
          <w:rFonts w:ascii="Arial" w:hAnsi="Arial" w:cs="Arial"/>
          <w:sz w:val="22"/>
          <w:szCs w:val="22"/>
        </w:rPr>
        <w:t>had</w:t>
      </w:r>
      <w:r w:rsidR="002A077B" w:rsidRPr="00A4399B">
        <w:rPr>
          <w:rFonts w:ascii="Arial" w:hAnsi="Arial" w:cs="Arial"/>
          <w:sz w:val="22"/>
          <w:szCs w:val="22"/>
        </w:rPr>
        <w:t xml:space="preserve"> fail</w:t>
      </w:r>
      <w:r w:rsidR="00053EF6" w:rsidRPr="00A4399B">
        <w:rPr>
          <w:rFonts w:ascii="Arial" w:hAnsi="Arial" w:cs="Arial"/>
          <w:sz w:val="22"/>
          <w:szCs w:val="22"/>
        </w:rPr>
        <w:t>ed</w:t>
      </w:r>
      <w:r w:rsidR="002A077B" w:rsidRPr="00A4399B">
        <w:rPr>
          <w:rFonts w:ascii="Arial" w:hAnsi="Arial" w:cs="Arial"/>
          <w:sz w:val="22"/>
          <w:szCs w:val="22"/>
        </w:rPr>
        <w:t xml:space="preserve"> in her duty of candour and cooperation </w:t>
      </w:r>
      <w:r w:rsidR="00BB4073" w:rsidRPr="00A4399B">
        <w:rPr>
          <w:rFonts w:ascii="Arial" w:hAnsi="Arial" w:cs="Arial"/>
          <w:sz w:val="22"/>
          <w:szCs w:val="22"/>
        </w:rPr>
        <w:t>by</w:t>
      </w:r>
      <w:r w:rsidR="002A077B" w:rsidRPr="00A4399B">
        <w:rPr>
          <w:rFonts w:ascii="Arial" w:hAnsi="Arial" w:cs="Arial"/>
          <w:sz w:val="22"/>
          <w:szCs w:val="22"/>
        </w:rPr>
        <w:t xml:space="preserve"> </w:t>
      </w:r>
      <w:r w:rsidR="00BB4073" w:rsidRPr="00A4399B">
        <w:rPr>
          <w:rFonts w:ascii="Arial" w:hAnsi="Arial" w:cs="Arial"/>
          <w:sz w:val="22"/>
          <w:szCs w:val="22"/>
        </w:rPr>
        <w:t>not</w:t>
      </w:r>
      <w:r w:rsidR="002231D9" w:rsidRPr="00A4399B">
        <w:rPr>
          <w:rFonts w:ascii="Arial" w:hAnsi="Arial" w:cs="Arial"/>
          <w:sz w:val="22"/>
          <w:szCs w:val="22"/>
        </w:rPr>
        <w:t xml:space="preserve"> provid</w:t>
      </w:r>
      <w:r w:rsidR="00BB4073" w:rsidRPr="00A4399B">
        <w:rPr>
          <w:rFonts w:ascii="Arial" w:hAnsi="Arial" w:cs="Arial"/>
          <w:sz w:val="22"/>
          <w:szCs w:val="22"/>
        </w:rPr>
        <w:t>ing</w:t>
      </w:r>
      <w:r w:rsidR="002231D9" w:rsidRPr="00A4399B">
        <w:rPr>
          <w:rFonts w:ascii="Arial" w:hAnsi="Arial" w:cs="Arial"/>
          <w:sz w:val="22"/>
          <w:szCs w:val="22"/>
        </w:rPr>
        <w:t xml:space="preserve"> th</w:t>
      </w:r>
      <w:r w:rsidR="00EE3A5A" w:rsidRPr="00A4399B">
        <w:rPr>
          <w:rFonts w:ascii="Arial" w:hAnsi="Arial" w:cs="Arial"/>
          <w:sz w:val="22"/>
          <w:szCs w:val="22"/>
        </w:rPr>
        <w:t>is</w:t>
      </w:r>
      <w:r w:rsidR="002231D9" w:rsidRPr="00A4399B">
        <w:rPr>
          <w:rFonts w:ascii="Arial" w:hAnsi="Arial" w:cs="Arial"/>
          <w:sz w:val="22"/>
          <w:szCs w:val="22"/>
        </w:rPr>
        <w:t xml:space="preserve"> Tribunal (and the Administrative Court in </w:t>
      </w:r>
      <w:r w:rsidR="00334824" w:rsidRPr="00A4399B">
        <w:rPr>
          <w:rFonts w:ascii="Arial" w:hAnsi="Arial" w:cs="Arial"/>
          <w:sz w:val="22"/>
          <w:szCs w:val="22"/>
        </w:rPr>
        <w:t xml:space="preserve">six related judicial review proceedings) with </w:t>
      </w:r>
      <w:r w:rsidR="00312199" w:rsidRPr="00A4399B">
        <w:rPr>
          <w:rFonts w:ascii="Arial" w:hAnsi="Arial" w:cs="Arial"/>
          <w:sz w:val="22"/>
          <w:szCs w:val="22"/>
        </w:rPr>
        <w:t>information relevant to the advice the SSHD had received</w:t>
      </w:r>
      <w:r w:rsidR="00D12DB5" w:rsidRPr="00A4399B">
        <w:rPr>
          <w:rFonts w:ascii="Arial" w:hAnsi="Arial" w:cs="Arial"/>
          <w:sz w:val="22"/>
          <w:szCs w:val="22"/>
        </w:rPr>
        <w:t xml:space="preserve"> concerning public health</w:t>
      </w:r>
      <w:r w:rsidR="00147B0D">
        <w:rPr>
          <w:rFonts w:ascii="Arial" w:hAnsi="Arial" w:cs="Arial"/>
          <w:sz w:val="22"/>
          <w:szCs w:val="22"/>
        </w:rPr>
        <w:t>,</w:t>
      </w:r>
      <w:r w:rsidR="00EE3A5A" w:rsidRPr="00A4399B">
        <w:rPr>
          <w:rFonts w:ascii="Arial" w:hAnsi="Arial" w:cs="Arial"/>
          <w:sz w:val="22"/>
          <w:szCs w:val="22"/>
        </w:rPr>
        <w:t xml:space="preserve"> and details of her policies and practice</w:t>
      </w:r>
      <w:r w:rsidR="0092041D" w:rsidRPr="00A4399B">
        <w:rPr>
          <w:rFonts w:ascii="Arial" w:hAnsi="Arial" w:cs="Arial"/>
          <w:sz w:val="22"/>
          <w:szCs w:val="22"/>
        </w:rPr>
        <w:t>s in exercis</w:t>
      </w:r>
      <w:r w:rsidR="00177C77" w:rsidRPr="00A4399B">
        <w:rPr>
          <w:rFonts w:ascii="Arial" w:hAnsi="Arial" w:cs="Arial"/>
          <w:sz w:val="22"/>
          <w:szCs w:val="22"/>
        </w:rPr>
        <w:t>ing</w:t>
      </w:r>
      <w:r w:rsidR="0092041D" w:rsidRPr="00A4399B">
        <w:rPr>
          <w:rFonts w:ascii="Arial" w:hAnsi="Arial" w:cs="Arial"/>
          <w:sz w:val="22"/>
          <w:szCs w:val="22"/>
        </w:rPr>
        <w:t xml:space="preserve"> her section 4 powers to </w:t>
      </w:r>
      <w:r w:rsidR="004478DF" w:rsidRPr="00A4399B">
        <w:rPr>
          <w:rFonts w:ascii="Arial" w:hAnsi="Arial" w:cs="Arial"/>
          <w:sz w:val="22"/>
          <w:szCs w:val="22"/>
        </w:rPr>
        <w:t xml:space="preserve">accommodate destitute failed asylum seekers. </w:t>
      </w:r>
    </w:p>
    <w:p w14:paraId="42B67521" w14:textId="77777777" w:rsidR="00C26E0E" w:rsidRPr="00A4399B" w:rsidRDefault="00C26E0E" w:rsidP="00C26E0E">
      <w:pPr>
        <w:tabs>
          <w:tab w:val="num" w:pos="720"/>
        </w:tabs>
        <w:jc w:val="both"/>
        <w:rPr>
          <w:rFonts w:ascii="Arial" w:hAnsi="Arial" w:cs="Arial"/>
          <w:sz w:val="22"/>
          <w:szCs w:val="22"/>
        </w:rPr>
      </w:pPr>
    </w:p>
    <w:p w14:paraId="2ECE2111" w14:textId="3C1B28BD" w:rsidR="0045625D" w:rsidRPr="00A4399B" w:rsidRDefault="00C26E0E" w:rsidP="004E30C4">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Mr Cox</w:t>
      </w:r>
      <w:r w:rsidR="00B872A0" w:rsidRPr="00A4399B">
        <w:rPr>
          <w:rFonts w:ascii="Arial" w:hAnsi="Arial" w:cs="Arial"/>
          <w:sz w:val="22"/>
          <w:szCs w:val="22"/>
        </w:rPr>
        <w:t xml:space="preserve"> sought to rely upon </w:t>
      </w:r>
      <w:r w:rsidR="00331CDC" w:rsidRPr="00A4399B">
        <w:rPr>
          <w:rFonts w:ascii="Arial" w:hAnsi="Arial" w:cs="Arial"/>
          <w:sz w:val="22"/>
          <w:szCs w:val="22"/>
        </w:rPr>
        <w:t xml:space="preserve">extensive </w:t>
      </w:r>
      <w:r w:rsidR="008C3EC4" w:rsidRPr="00A4399B">
        <w:rPr>
          <w:rFonts w:ascii="Arial" w:hAnsi="Arial" w:cs="Arial"/>
          <w:sz w:val="22"/>
          <w:szCs w:val="22"/>
        </w:rPr>
        <w:t>evidence filed in</w:t>
      </w:r>
      <w:r w:rsidR="00631593" w:rsidRPr="00A4399B">
        <w:rPr>
          <w:rFonts w:ascii="Arial" w:hAnsi="Arial" w:cs="Arial"/>
          <w:sz w:val="22"/>
          <w:szCs w:val="22"/>
        </w:rPr>
        <w:t xml:space="preserve"> two judicial reviews</w:t>
      </w:r>
      <w:r w:rsidR="00D84293" w:rsidRPr="00A4399B">
        <w:rPr>
          <w:rFonts w:ascii="Arial" w:hAnsi="Arial" w:cs="Arial"/>
          <w:sz w:val="22"/>
          <w:szCs w:val="22"/>
        </w:rPr>
        <w:t xml:space="preserve"> of the decision</w:t>
      </w:r>
      <w:r w:rsidR="00215D2E" w:rsidRPr="00A4399B">
        <w:rPr>
          <w:rFonts w:ascii="Arial" w:hAnsi="Arial" w:cs="Arial"/>
          <w:sz w:val="22"/>
          <w:szCs w:val="22"/>
        </w:rPr>
        <w:t>s</w:t>
      </w:r>
      <w:r w:rsidR="00D84293" w:rsidRPr="00A4399B">
        <w:rPr>
          <w:rFonts w:ascii="Arial" w:hAnsi="Arial" w:cs="Arial"/>
          <w:sz w:val="22"/>
          <w:szCs w:val="22"/>
        </w:rPr>
        <w:t xml:space="preserve"> of this Tribunal</w:t>
      </w:r>
      <w:r w:rsidR="00631593" w:rsidRPr="00A4399B">
        <w:rPr>
          <w:rFonts w:ascii="Arial" w:hAnsi="Arial" w:cs="Arial"/>
          <w:sz w:val="22"/>
          <w:szCs w:val="22"/>
        </w:rPr>
        <w:t xml:space="preserve"> (</w:t>
      </w:r>
      <w:r w:rsidR="00631593" w:rsidRPr="00A4399B">
        <w:rPr>
          <w:rFonts w:ascii="Arial" w:hAnsi="Arial" w:cs="Arial"/>
          <w:i/>
          <w:sz w:val="22"/>
          <w:szCs w:val="22"/>
        </w:rPr>
        <w:t>KMI and EW</w:t>
      </w:r>
      <w:r w:rsidR="00631593" w:rsidRPr="00A4399B">
        <w:rPr>
          <w:rFonts w:ascii="Arial" w:hAnsi="Arial" w:cs="Arial"/>
          <w:sz w:val="22"/>
          <w:szCs w:val="22"/>
        </w:rPr>
        <w:t xml:space="preserve">) </w:t>
      </w:r>
      <w:r w:rsidR="00190759" w:rsidRPr="00A4399B">
        <w:rPr>
          <w:rFonts w:ascii="Arial" w:hAnsi="Arial" w:cs="Arial"/>
          <w:sz w:val="22"/>
          <w:szCs w:val="22"/>
        </w:rPr>
        <w:t xml:space="preserve">and </w:t>
      </w:r>
      <w:r w:rsidR="00B872A0" w:rsidRPr="00A4399B">
        <w:rPr>
          <w:rFonts w:ascii="Arial" w:hAnsi="Arial" w:cs="Arial"/>
          <w:sz w:val="22"/>
          <w:szCs w:val="22"/>
        </w:rPr>
        <w:t xml:space="preserve">the </w:t>
      </w:r>
      <w:r w:rsidR="00331CDC" w:rsidRPr="00A4399B">
        <w:rPr>
          <w:rFonts w:ascii="Arial" w:hAnsi="Arial" w:cs="Arial"/>
          <w:sz w:val="22"/>
          <w:szCs w:val="22"/>
        </w:rPr>
        <w:t>i</w:t>
      </w:r>
      <w:r w:rsidR="00B872A0" w:rsidRPr="00A4399B">
        <w:rPr>
          <w:rFonts w:ascii="Arial" w:hAnsi="Arial" w:cs="Arial"/>
          <w:sz w:val="22"/>
          <w:szCs w:val="22"/>
        </w:rPr>
        <w:t xml:space="preserve">nterim </w:t>
      </w:r>
      <w:r w:rsidR="009E4D6C" w:rsidRPr="00A4399B">
        <w:rPr>
          <w:rFonts w:ascii="Arial" w:hAnsi="Arial" w:cs="Arial"/>
          <w:sz w:val="22"/>
          <w:szCs w:val="22"/>
        </w:rPr>
        <w:t>judgement of Lewis LJ and Garnham J</w:t>
      </w:r>
      <w:r w:rsidR="00B872A0" w:rsidRPr="00A4399B">
        <w:rPr>
          <w:rFonts w:ascii="Arial" w:hAnsi="Arial" w:cs="Arial"/>
          <w:sz w:val="22"/>
          <w:szCs w:val="22"/>
        </w:rPr>
        <w:t xml:space="preserve"> </w:t>
      </w:r>
      <w:r w:rsidR="0052269C" w:rsidRPr="00A4399B">
        <w:rPr>
          <w:rFonts w:ascii="Arial" w:hAnsi="Arial" w:cs="Arial"/>
          <w:sz w:val="22"/>
          <w:szCs w:val="22"/>
        </w:rPr>
        <w:t xml:space="preserve">in </w:t>
      </w:r>
      <w:r w:rsidR="00215D2E" w:rsidRPr="00A4399B">
        <w:rPr>
          <w:rFonts w:ascii="Arial" w:hAnsi="Arial" w:cs="Arial"/>
          <w:sz w:val="22"/>
          <w:szCs w:val="22"/>
        </w:rPr>
        <w:t>granting permission</w:t>
      </w:r>
      <w:r w:rsidR="0052269C" w:rsidRPr="00A4399B">
        <w:rPr>
          <w:rFonts w:ascii="Arial" w:hAnsi="Arial" w:cs="Arial"/>
          <w:sz w:val="22"/>
          <w:szCs w:val="22"/>
        </w:rPr>
        <w:t>.</w:t>
      </w:r>
      <w:r w:rsidR="00BA360E" w:rsidRPr="00A4399B">
        <w:rPr>
          <w:rFonts w:ascii="Arial" w:hAnsi="Arial" w:cs="Arial"/>
          <w:sz w:val="22"/>
          <w:szCs w:val="22"/>
        </w:rPr>
        <w:t xml:space="preserve"> He noted </w:t>
      </w:r>
      <w:r w:rsidR="00A37236" w:rsidRPr="00A4399B">
        <w:rPr>
          <w:rFonts w:ascii="Arial" w:hAnsi="Arial" w:cs="Arial"/>
          <w:sz w:val="22"/>
          <w:szCs w:val="22"/>
        </w:rPr>
        <w:t>the provisional view of the Court</w:t>
      </w:r>
      <w:r w:rsidR="00D40D40" w:rsidRPr="00A4399B">
        <w:rPr>
          <w:rFonts w:ascii="Arial" w:hAnsi="Arial" w:cs="Arial"/>
          <w:sz w:val="22"/>
          <w:szCs w:val="22"/>
        </w:rPr>
        <w:t xml:space="preserve">, </w:t>
      </w:r>
      <w:r w:rsidR="0092649A" w:rsidRPr="00A4399B">
        <w:rPr>
          <w:rFonts w:ascii="Arial" w:hAnsi="Arial" w:cs="Arial"/>
          <w:sz w:val="22"/>
          <w:szCs w:val="22"/>
        </w:rPr>
        <w:t>“</w:t>
      </w:r>
      <w:r w:rsidR="00D40D40" w:rsidRPr="00A4399B">
        <w:rPr>
          <w:rFonts w:ascii="Arial" w:hAnsi="Arial" w:cs="Arial"/>
          <w:sz w:val="22"/>
          <w:szCs w:val="22"/>
        </w:rPr>
        <w:t>without expressing any concluded view</w:t>
      </w:r>
      <w:r w:rsidR="0092649A" w:rsidRPr="00A4399B">
        <w:rPr>
          <w:rFonts w:ascii="Arial" w:hAnsi="Arial" w:cs="Arial"/>
          <w:sz w:val="22"/>
          <w:szCs w:val="22"/>
        </w:rPr>
        <w:t>”</w:t>
      </w:r>
      <w:r w:rsidR="00D40D40" w:rsidRPr="00A4399B">
        <w:rPr>
          <w:rFonts w:ascii="Arial" w:hAnsi="Arial" w:cs="Arial"/>
          <w:sz w:val="22"/>
          <w:szCs w:val="22"/>
        </w:rPr>
        <w:t xml:space="preserve">, that </w:t>
      </w:r>
      <w:r w:rsidR="0073580E" w:rsidRPr="00A4399B">
        <w:rPr>
          <w:rFonts w:ascii="Arial" w:hAnsi="Arial" w:cs="Arial"/>
          <w:sz w:val="22"/>
          <w:szCs w:val="22"/>
        </w:rPr>
        <w:t xml:space="preserve">the </w:t>
      </w:r>
      <w:r w:rsidR="00ED071B" w:rsidRPr="00A4399B">
        <w:rPr>
          <w:rFonts w:ascii="Arial" w:hAnsi="Arial" w:cs="Arial"/>
          <w:i/>
          <w:sz w:val="22"/>
          <w:szCs w:val="22"/>
        </w:rPr>
        <w:t>KMI and EW</w:t>
      </w:r>
      <w:r w:rsidR="00ED071B" w:rsidRPr="00A4399B">
        <w:rPr>
          <w:rFonts w:ascii="Arial" w:hAnsi="Arial" w:cs="Arial"/>
          <w:sz w:val="22"/>
          <w:szCs w:val="22"/>
        </w:rPr>
        <w:t xml:space="preserve"> </w:t>
      </w:r>
      <w:r w:rsidR="0073580E" w:rsidRPr="00A4399B">
        <w:rPr>
          <w:rFonts w:ascii="Arial" w:hAnsi="Arial" w:cs="Arial"/>
          <w:sz w:val="22"/>
          <w:szCs w:val="22"/>
        </w:rPr>
        <w:t xml:space="preserve">appeals (which </w:t>
      </w:r>
      <w:r w:rsidR="00A43384" w:rsidRPr="00A4399B">
        <w:rPr>
          <w:rFonts w:ascii="Arial" w:hAnsi="Arial" w:cs="Arial"/>
          <w:sz w:val="22"/>
          <w:szCs w:val="22"/>
        </w:rPr>
        <w:t>related to</w:t>
      </w:r>
      <w:r w:rsidR="005A54FE" w:rsidRPr="00A4399B">
        <w:rPr>
          <w:rFonts w:ascii="Arial" w:hAnsi="Arial" w:cs="Arial"/>
          <w:sz w:val="22"/>
          <w:szCs w:val="22"/>
        </w:rPr>
        <w:t xml:space="preserve"> </w:t>
      </w:r>
      <w:r w:rsidR="00807D6C" w:rsidRPr="00A4399B">
        <w:rPr>
          <w:rFonts w:ascii="Arial" w:hAnsi="Arial" w:cs="Arial"/>
          <w:sz w:val="22"/>
          <w:szCs w:val="22"/>
        </w:rPr>
        <w:t>refusal of support</w:t>
      </w:r>
      <w:r w:rsidR="0073580E" w:rsidRPr="00A4399B">
        <w:rPr>
          <w:rFonts w:ascii="Arial" w:hAnsi="Arial" w:cs="Arial"/>
          <w:sz w:val="22"/>
          <w:szCs w:val="22"/>
        </w:rPr>
        <w:t xml:space="preserve">) </w:t>
      </w:r>
      <w:r w:rsidR="00FC2A84" w:rsidRPr="00A4399B">
        <w:rPr>
          <w:rFonts w:ascii="Arial" w:hAnsi="Arial" w:cs="Arial"/>
          <w:sz w:val="22"/>
          <w:szCs w:val="22"/>
        </w:rPr>
        <w:t xml:space="preserve">concerned </w:t>
      </w:r>
      <w:r w:rsidR="00DC5746" w:rsidRPr="00A4399B">
        <w:rPr>
          <w:rFonts w:ascii="Arial" w:hAnsi="Arial" w:cs="Arial"/>
          <w:sz w:val="22"/>
          <w:szCs w:val="22"/>
        </w:rPr>
        <w:t>“</w:t>
      </w:r>
      <w:r w:rsidR="00FC2A84" w:rsidRPr="00A4399B">
        <w:rPr>
          <w:rFonts w:ascii="Arial" w:hAnsi="Arial" w:cs="Arial"/>
          <w:sz w:val="22"/>
          <w:szCs w:val="22"/>
        </w:rPr>
        <w:t>an</w:t>
      </w:r>
      <w:r w:rsidR="00DC5746" w:rsidRPr="00A4399B">
        <w:rPr>
          <w:rFonts w:ascii="Arial" w:hAnsi="Arial" w:cs="Arial"/>
          <w:sz w:val="22"/>
          <w:szCs w:val="22"/>
        </w:rPr>
        <w:t xml:space="preserve"> issue of real substance”</w:t>
      </w:r>
      <w:r w:rsidR="00795D07" w:rsidRPr="00A4399B">
        <w:rPr>
          <w:rFonts w:ascii="Arial" w:hAnsi="Arial" w:cs="Arial"/>
          <w:sz w:val="22"/>
          <w:szCs w:val="22"/>
        </w:rPr>
        <w:t xml:space="preserve">. </w:t>
      </w:r>
    </w:p>
    <w:p w14:paraId="25CB202C" w14:textId="77777777" w:rsidR="00171FF7" w:rsidRPr="00A4399B" w:rsidRDefault="00171FF7" w:rsidP="00171FF7">
      <w:pPr>
        <w:tabs>
          <w:tab w:val="num" w:pos="720"/>
        </w:tabs>
        <w:jc w:val="both"/>
        <w:rPr>
          <w:rFonts w:ascii="Arial" w:hAnsi="Arial" w:cs="Arial"/>
          <w:sz w:val="22"/>
          <w:szCs w:val="22"/>
        </w:rPr>
      </w:pPr>
    </w:p>
    <w:p w14:paraId="3CEE3797" w14:textId="349E1CBD" w:rsidR="008578B0" w:rsidRPr="00A4399B" w:rsidRDefault="0045625D" w:rsidP="008578B0">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 xml:space="preserve">However, </w:t>
      </w:r>
      <w:r w:rsidR="00B572DB" w:rsidRPr="00A4399B">
        <w:rPr>
          <w:rFonts w:ascii="Arial" w:hAnsi="Arial" w:cs="Arial"/>
          <w:i/>
          <w:sz w:val="22"/>
          <w:szCs w:val="22"/>
        </w:rPr>
        <w:t>KMI and EW</w:t>
      </w:r>
      <w:r w:rsidRPr="00A4399B">
        <w:rPr>
          <w:rFonts w:ascii="Arial" w:hAnsi="Arial" w:cs="Arial"/>
          <w:sz w:val="22"/>
          <w:szCs w:val="22"/>
        </w:rPr>
        <w:t xml:space="preserve"> have now been withdrawn by consent</w:t>
      </w:r>
      <w:r w:rsidR="00C918EA" w:rsidRPr="00A4399B">
        <w:rPr>
          <w:rFonts w:ascii="Arial" w:hAnsi="Arial" w:cs="Arial"/>
          <w:sz w:val="22"/>
          <w:szCs w:val="22"/>
        </w:rPr>
        <w:t xml:space="preserve"> and the Tribunal </w:t>
      </w:r>
      <w:r w:rsidR="00B57C83" w:rsidRPr="00A4399B">
        <w:rPr>
          <w:rFonts w:ascii="Arial" w:hAnsi="Arial" w:cs="Arial"/>
          <w:sz w:val="22"/>
          <w:szCs w:val="22"/>
        </w:rPr>
        <w:t xml:space="preserve">remains </w:t>
      </w:r>
      <w:r w:rsidR="00687DCB" w:rsidRPr="00A4399B">
        <w:rPr>
          <w:rFonts w:ascii="Arial" w:hAnsi="Arial" w:cs="Arial"/>
          <w:sz w:val="22"/>
          <w:szCs w:val="22"/>
        </w:rPr>
        <w:t xml:space="preserve">for the time being </w:t>
      </w:r>
      <w:r w:rsidR="00B57C83" w:rsidRPr="00A4399B">
        <w:rPr>
          <w:rFonts w:ascii="Arial" w:hAnsi="Arial" w:cs="Arial"/>
          <w:sz w:val="22"/>
          <w:szCs w:val="22"/>
        </w:rPr>
        <w:t xml:space="preserve">without guidance </w:t>
      </w:r>
      <w:r w:rsidR="00447B7C" w:rsidRPr="00A4399B">
        <w:rPr>
          <w:rFonts w:ascii="Arial" w:hAnsi="Arial" w:cs="Arial"/>
          <w:sz w:val="22"/>
          <w:szCs w:val="22"/>
        </w:rPr>
        <w:t>from</w:t>
      </w:r>
      <w:r w:rsidR="00B57C83" w:rsidRPr="00A4399B">
        <w:rPr>
          <w:rFonts w:ascii="Arial" w:hAnsi="Arial" w:cs="Arial"/>
          <w:sz w:val="22"/>
          <w:szCs w:val="22"/>
        </w:rPr>
        <w:t xml:space="preserve"> the higher Courts on this important issue</w:t>
      </w:r>
      <w:r w:rsidR="009B1A01" w:rsidRPr="00A4399B">
        <w:rPr>
          <w:rFonts w:ascii="Arial" w:hAnsi="Arial" w:cs="Arial"/>
          <w:sz w:val="22"/>
          <w:szCs w:val="22"/>
        </w:rPr>
        <w:t>.</w:t>
      </w:r>
      <w:r w:rsidR="00AF3665" w:rsidRPr="00A4399B">
        <w:rPr>
          <w:rFonts w:ascii="Arial" w:hAnsi="Arial" w:cs="Arial"/>
          <w:sz w:val="22"/>
          <w:szCs w:val="22"/>
        </w:rPr>
        <w:t xml:space="preserve"> I note that the Administrative Court </w:t>
      </w:r>
      <w:r w:rsidR="003A17B8" w:rsidRPr="00A4399B">
        <w:rPr>
          <w:rFonts w:ascii="Arial" w:hAnsi="Arial" w:cs="Arial"/>
          <w:sz w:val="22"/>
          <w:szCs w:val="22"/>
        </w:rPr>
        <w:t>will</w:t>
      </w:r>
      <w:r w:rsidR="00AF3665" w:rsidRPr="00A4399B">
        <w:rPr>
          <w:rFonts w:ascii="Arial" w:hAnsi="Arial" w:cs="Arial"/>
          <w:sz w:val="22"/>
          <w:szCs w:val="22"/>
        </w:rPr>
        <w:t xml:space="preserve"> consider </w:t>
      </w:r>
      <w:r w:rsidR="00147B0D">
        <w:rPr>
          <w:rFonts w:ascii="Arial" w:hAnsi="Arial" w:cs="Arial"/>
          <w:sz w:val="22"/>
          <w:szCs w:val="22"/>
        </w:rPr>
        <w:t xml:space="preserve">the </w:t>
      </w:r>
      <w:r w:rsidR="003C0972" w:rsidRPr="00A4399B">
        <w:rPr>
          <w:rFonts w:ascii="Arial" w:hAnsi="Arial" w:cs="Arial"/>
          <w:i/>
          <w:sz w:val="22"/>
          <w:szCs w:val="22"/>
        </w:rPr>
        <w:t xml:space="preserve">PA and MA </w:t>
      </w:r>
      <w:r w:rsidR="003C0972" w:rsidRPr="00A4399B">
        <w:rPr>
          <w:rFonts w:ascii="Arial" w:hAnsi="Arial" w:cs="Arial"/>
          <w:sz w:val="22"/>
          <w:szCs w:val="22"/>
        </w:rPr>
        <w:t>judicial review application</w:t>
      </w:r>
      <w:r w:rsidR="00D23B50" w:rsidRPr="00A4399B">
        <w:rPr>
          <w:rFonts w:ascii="Arial" w:hAnsi="Arial" w:cs="Arial"/>
          <w:sz w:val="22"/>
          <w:szCs w:val="22"/>
        </w:rPr>
        <w:t xml:space="preserve"> </w:t>
      </w:r>
      <w:r w:rsidR="005E6F16" w:rsidRPr="00A4399B">
        <w:rPr>
          <w:rFonts w:ascii="Arial" w:hAnsi="Arial" w:cs="Arial"/>
          <w:sz w:val="22"/>
          <w:szCs w:val="22"/>
        </w:rPr>
        <w:t xml:space="preserve">together with QBB (CO/3986/2020) and AKN (CO/4191/2020) </w:t>
      </w:r>
      <w:r w:rsidR="001363AA" w:rsidRPr="00A4399B">
        <w:rPr>
          <w:rFonts w:ascii="Arial" w:hAnsi="Arial" w:cs="Arial"/>
          <w:sz w:val="22"/>
          <w:szCs w:val="22"/>
        </w:rPr>
        <w:t xml:space="preserve">at the permission hearing </w:t>
      </w:r>
      <w:r w:rsidR="005E6F16" w:rsidRPr="00A4399B">
        <w:rPr>
          <w:rFonts w:ascii="Arial" w:hAnsi="Arial" w:cs="Arial"/>
          <w:sz w:val="22"/>
          <w:szCs w:val="22"/>
        </w:rPr>
        <w:t xml:space="preserve">for all four claims </w:t>
      </w:r>
      <w:r w:rsidR="001363AA" w:rsidRPr="00A4399B">
        <w:rPr>
          <w:rFonts w:ascii="Arial" w:hAnsi="Arial" w:cs="Arial"/>
          <w:sz w:val="22"/>
          <w:szCs w:val="22"/>
        </w:rPr>
        <w:t>o</w:t>
      </w:r>
      <w:r w:rsidR="00D23B50" w:rsidRPr="00A4399B">
        <w:rPr>
          <w:rFonts w:ascii="Arial" w:hAnsi="Arial" w:cs="Arial"/>
          <w:sz w:val="22"/>
          <w:szCs w:val="22"/>
        </w:rPr>
        <w:t>n 5</w:t>
      </w:r>
      <w:r w:rsidR="002F2F3A">
        <w:rPr>
          <w:rFonts w:ascii="Arial" w:hAnsi="Arial" w:cs="Arial"/>
          <w:sz w:val="22"/>
          <w:szCs w:val="22"/>
        </w:rPr>
        <w:t>/</w:t>
      </w:r>
      <w:r w:rsidR="00D23B50" w:rsidRPr="00A4399B">
        <w:rPr>
          <w:rFonts w:ascii="Arial" w:hAnsi="Arial" w:cs="Arial"/>
          <w:sz w:val="22"/>
          <w:szCs w:val="22"/>
        </w:rPr>
        <w:t xml:space="preserve">6 May </w:t>
      </w:r>
      <w:r w:rsidR="00EA2E11" w:rsidRPr="00A4399B">
        <w:rPr>
          <w:rFonts w:ascii="Arial" w:hAnsi="Arial" w:cs="Arial"/>
          <w:sz w:val="22"/>
          <w:szCs w:val="22"/>
        </w:rPr>
        <w:t>2021</w:t>
      </w:r>
      <w:r w:rsidR="00B064F9" w:rsidRPr="00A4399B">
        <w:rPr>
          <w:rFonts w:ascii="Arial" w:hAnsi="Arial" w:cs="Arial"/>
          <w:sz w:val="22"/>
          <w:szCs w:val="22"/>
        </w:rPr>
        <w:t>.</w:t>
      </w:r>
    </w:p>
    <w:p w14:paraId="0077D92D" w14:textId="0982BBB9" w:rsidR="009B1A01" w:rsidRPr="00A4399B" w:rsidRDefault="009B1A01" w:rsidP="008578B0">
      <w:pPr>
        <w:tabs>
          <w:tab w:val="num" w:pos="720"/>
        </w:tabs>
        <w:jc w:val="both"/>
        <w:rPr>
          <w:rFonts w:ascii="Arial" w:hAnsi="Arial" w:cs="Arial"/>
          <w:sz w:val="22"/>
          <w:szCs w:val="22"/>
        </w:rPr>
      </w:pPr>
    </w:p>
    <w:p w14:paraId="77685097" w14:textId="77777777" w:rsidR="00840CBC" w:rsidRPr="00A4399B" w:rsidRDefault="00840CBC" w:rsidP="008578B0">
      <w:pPr>
        <w:tabs>
          <w:tab w:val="num" w:pos="720"/>
        </w:tabs>
        <w:jc w:val="both"/>
        <w:rPr>
          <w:rFonts w:ascii="Arial" w:hAnsi="Arial" w:cs="Arial"/>
          <w:sz w:val="22"/>
          <w:szCs w:val="22"/>
        </w:rPr>
      </w:pPr>
    </w:p>
    <w:p w14:paraId="17392BC9" w14:textId="776F9A37" w:rsidR="005753E8" w:rsidRPr="00A4399B" w:rsidRDefault="005753E8" w:rsidP="005753E8">
      <w:pPr>
        <w:autoSpaceDE w:val="0"/>
        <w:autoSpaceDN w:val="0"/>
        <w:adjustRightInd w:val="0"/>
        <w:rPr>
          <w:rFonts w:ascii="Arial" w:hAnsi="Arial" w:cs="Arial"/>
          <w:sz w:val="24"/>
          <w:szCs w:val="24"/>
        </w:rPr>
      </w:pPr>
      <w:r w:rsidRPr="00A4399B">
        <w:rPr>
          <w:rFonts w:ascii="Arial Black" w:hAnsi="Arial Black" w:cs="Arial"/>
          <w:b/>
          <w:smallCaps/>
          <w:sz w:val="22"/>
          <w:szCs w:val="22"/>
        </w:rPr>
        <w:t xml:space="preserve">Tribunal Directions of </w:t>
      </w:r>
      <w:r w:rsidR="00EC67FC" w:rsidRPr="00A4399B">
        <w:rPr>
          <w:rFonts w:ascii="Arial Black" w:hAnsi="Arial Black" w:cs="Arial"/>
          <w:b/>
          <w:smallCaps/>
          <w:sz w:val="22"/>
          <w:szCs w:val="22"/>
        </w:rPr>
        <w:t>1</w:t>
      </w:r>
      <w:r w:rsidR="00171FF7" w:rsidRPr="00A4399B">
        <w:rPr>
          <w:rFonts w:ascii="Arial Black" w:hAnsi="Arial Black" w:cs="Arial"/>
          <w:b/>
          <w:smallCaps/>
          <w:sz w:val="22"/>
          <w:szCs w:val="22"/>
        </w:rPr>
        <w:t>5</w:t>
      </w:r>
      <w:r w:rsidRPr="00A4399B">
        <w:rPr>
          <w:rFonts w:ascii="Arial Black" w:hAnsi="Arial Black" w:cs="Arial"/>
          <w:b/>
          <w:smallCaps/>
          <w:sz w:val="22"/>
          <w:szCs w:val="22"/>
        </w:rPr>
        <w:t xml:space="preserve"> March 2021 (the </w:t>
      </w:r>
      <w:r w:rsidR="00EC67FC" w:rsidRPr="00A4399B">
        <w:rPr>
          <w:rFonts w:ascii="Arial Black" w:hAnsi="Arial Black" w:cs="Arial"/>
          <w:b/>
          <w:smallCaps/>
          <w:sz w:val="22"/>
          <w:szCs w:val="22"/>
        </w:rPr>
        <w:t>second d</w:t>
      </w:r>
      <w:r w:rsidRPr="00A4399B">
        <w:rPr>
          <w:rFonts w:ascii="Arial Black" w:hAnsi="Arial Black" w:cs="Arial"/>
          <w:b/>
          <w:smallCaps/>
          <w:sz w:val="22"/>
          <w:szCs w:val="22"/>
        </w:rPr>
        <w:t>irections)</w:t>
      </w:r>
    </w:p>
    <w:p w14:paraId="0751709A" w14:textId="77777777" w:rsidR="005753E8" w:rsidRPr="00A4399B" w:rsidRDefault="005753E8" w:rsidP="005753E8">
      <w:pPr>
        <w:tabs>
          <w:tab w:val="num" w:pos="0"/>
          <w:tab w:val="num" w:pos="567"/>
        </w:tabs>
        <w:jc w:val="both"/>
        <w:rPr>
          <w:rFonts w:ascii="Arial" w:hAnsi="Arial" w:cs="Arial"/>
          <w:smallCaps/>
          <w:sz w:val="22"/>
          <w:szCs w:val="22"/>
        </w:rPr>
      </w:pPr>
    </w:p>
    <w:p w14:paraId="409AAA4F" w14:textId="77777777" w:rsidR="00977B6A" w:rsidRDefault="00C55E2E" w:rsidP="00D049D8">
      <w:pPr>
        <w:pStyle w:val="ListParagraph"/>
        <w:numPr>
          <w:ilvl w:val="0"/>
          <w:numId w:val="3"/>
        </w:numPr>
        <w:tabs>
          <w:tab w:val="clear" w:pos="1004"/>
          <w:tab w:val="num" w:pos="0"/>
          <w:tab w:val="num" w:pos="567"/>
        </w:tabs>
        <w:ind w:left="0" w:firstLine="0"/>
        <w:jc w:val="both"/>
        <w:rPr>
          <w:rFonts w:ascii="Arial" w:hAnsi="Arial" w:cs="Arial"/>
          <w:sz w:val="22"/>
          <w:szCs w:val="22"/>
        </w:rPr>
      </w:pPr>
      <w:r w:rsidRPr="00A4399B">
        <w:rPr>
          <w:rFonts w:ascii="Arial" w:hAnsi="Arial" w:cs="Arial"/>
          <w:sz w:val="22"/>
          <w:szCs w:val="22"/>
        </w:rPr>
        <w:t xml:space="preserve">At the case management hearing on 15 March 2021, </w:t>
      </w:r>
      <w:r w:rsidR="000352AF" w:rsidRPr="00A4399B">
        <w:rPr>
          <w:rFonts w:ascii="Arial" w:hAnsi="Arial" w:cs="Arial"/>
          <w:sz w:val="22"/>
          <w:szCs w:val="22"/>
        </w:rPr>
        <w:t>it was</w:t>
      </w:r>
      <w:r w:rsidRPr="00A4399B">
        <w:rPr>
          <w:rFonts w:ascii="Arial" w:hAnsi="Arial" w:cs="Arial"/>
          <w:sz w:val="22"/>
          <w:szCs w:val="22"/>
        </w:rPr>
        <w:t xml:space="preserve"> agreed </w:t>
      </w:r>
      <w:r w:rsidR="00653732" w:rsidRPr="00A4399B">
        <w:rPr>
          <w:rFonts w:ascii="Arial" w:hAnsi="Arial" w:cs="Arial"/>
          <w:sz w:val="22"/>
          <w:szCs w:val="22"/>
        </w:rPr>
        <w:t>(</w:t>
      </w:r>
      <w:r w:rsidRPr="00A4399B">
        <w:rPr>
          <w:rFonts w:ascii="Arial" w:hAnsi="Arial" w:cs="Arial"/>
          <w:sz w:val="22"/>
          <w:szCs w:val="22"/>
        </w:rPr>
        <w:t xml:space="preserve">on </w:t>
      </w:r>
      <w:r w:rsidR="00E66F70" w:rsidRPr="00A4399B">
        <w:rPr>
          <w:rFonts w:ascii="Arial" w:hAnsi="Arial" w:cs="Arial"/>
          <w:sz w:val="22"/>
          <w:szCs w:val="22"/>
        </w:rPr>
        <w:t>consideration of</w:t>
      </w:r>
      <w:r w:rsidR="00DB2975" w:rsidRPr="00A4399B">
        <w:rPr>
          <w:rFonts w:ascii="Arial" w:hAnsi="Arial" w:cs="Arial"/>
          <w:sz w:val="22"/>
          <w:szCs w:val="22"/>
        </w:rPr>
        <w:t xml:space="preserve"> the </w:t>
      </w:r>
      <w:r w:rsidRPr="00A4399B">
        <w:rPr>
          <w:rFonts w:ascii="Arial" w:hAnsi="Arial" w:cs="Arial"/>
          <w:sz w:val="22"/>
          <w:szCs w:val="22"/>
        </w:rPr>
        <w:t>written and oral submission</w:t>
      </w:r>
      <w:r w:rsidR="000352AF" w:rsidRPr="00A4399B">
        <w:rPr>
          <w:rFonts w:ascii="Arial" w:hAnsi="Arial" w:cs="Arial"/>
          <w:sz w:val="22"/>
          <w:szCs w:val="22"/>
        </w:rPr>
        <w:t>s</w:t>
      </w:r>
      <w:r w:rsidR="00653732" w:rsidRPr="00A4399B">
        <w:rPr>
          <w:rFonts w:ascii="Arial" w:hAnsi="Arial" w:cs="Arial"/>
          <w:sz w:val="22"/>
          <w:szCs w:val="22"/>
        </w:rPr>
        <w:t xml:space="preserve"> from the SS</w:t>
      </w:r>
      <w:r w:rsidR="007E3157" w:rsidRPr="00A4399B">
        <w:rPr>
          <w:rFonts w:ascii="Arial" w:hAnsi="Arial" w:cs="Arial"/>
          <w:sz w:val="22"/>
          <w:szCs w:val="22"/>
        </w:rPr>
        <w:t>HD’s legal team)</w:t>
      </w:r>
      <w:r w:rsidRPr="00A4399B">
        <w:rPr>
          <w:rFonts w:ascii="Arial" w:hAnsi="Arial" w:cs="Arial"/>
          <w:sz w:val="22"/>
          <w:szCs w:val="22"/>
        </w:rPr>
        <w:t xml:space="preserve"> that the appeal required an oral hearing with the full participation of the SSHD. </w:t>
      </w:r>
      <w:r w:rsidR="00B47FFA" w:rsidRPr="00A4399B">
        <w:rPr>
          <w:rFonts w:ascii="Arial" w:hAnsi="Arial" w:cs="Arial"/>
          <w:sz w:val="22"/>
          <w:szCs w:val="22"/>
        </w:rPr>
        <w:t>The appellant was given permission to raise an additional ground of appeal and d</w:t>
      </w:r>
      <w:r w:rsidRPr="00A4399B">
        <w:rPr>
          <w:rFonts w:ascii="Arial" w:hAnsi="Arial" w:cs="Arial"/>
          <w:sz w:val="22"/>
          <w:szCs w:val="22"/>
        </w:rPr>
        <w:t>irections were issued for</w:t>
      </w:r>
      <w:r w:rsidR="00EB4E41" w:rsidRPr="00A4399B">
        <w:rPr>
          <w:rFonts w:ascii="Arial" w:hAnsi="Arial" w:cs="Arial"/>
          <w:sz w:val="22"/>
          <w:szCs w:val="22"/>
        </w:rPr>
        <w:t xml:space="preserve"> the </w:t>
      </w:r>
      <w:r w:rsidR="002F2F3A">
        <w:rPr>
          <w:rFonts w:ascii="Arial" w:hAnsi="Arial" w:cs="Arial"/>
          <w:sz w:val="22"/>
          <w:szCs w:val="22"/>
        </w:rPr>
        <w:t>SSHD</w:t>
      </w:r>
      <w:r w:rsidR="00EB4E41" w:rsidRPr="00A4399B">
        <w:rPr>
          <w:rFonts w:ascii="Arial" w:hAnsi="Arial" w:cs="Arial"/>
          <w:sz w:val="22"/>
          <w:szCs w:val="22"/>
        </w:rPr>
        <w:t xml:space="preserve"> to provide further information,</w:t>
      </w:r>
      <w:r w:rsidR="001C5678" w:rsidRPr="00A4399B">
        <w:rPr>
          <w:rFonts w:ascii="Arial" w:hAnsi="Arial" w:cs="Arial"/>
          <w:sz w:val="22"/>
          <w:szCs w:val="22"/>
        </w:rPr>
        <w:t xml:space="preserve"> details of the SSHD’s current policy or practice</w:t>
      </w:r>
      <w:r w:rsidR="003B362F" w:rsidRPr="00A4399B">
        <w:rPr>
          <w:rFonts w:ascii="Arial" w:hAnsi="Arial" w:cs="Arial"/>
          <w:sz w:val="22"/>
          <w:szCs w:val="22"/>
        </w:rPr>
        <w:t xml:space="preserve"> </w:t>
      </w:r>
      <w:r w:rsidR="00881F4B" w:rsidRPr="00A4399B">
        <w:rPr>
          <w:rFonts w:ascii="Arial" w:hAnsi="Arial" w:cs="Arial"/>
          <w:sz w:val="22"/>
          <w:szCs w:val="22"/>
        </w:rPr>
        <w:t xml:space="preserve">of providing accommodation to </w:t>
      </w:r>
      <w:r w:rsidR="00F93533" w:rsidRPr="00A4399B">
        <w:rPr>
          <w:rFonts w:ascii="Arial" w:hAnsi="Arial" w:cs="Arial"/>
          <w:sz w:val="22"/>
          <w:szCs w:val="22"/>
        </w:rPr>
        <w:t>destitute failed asylum seekers</w:t>
      </w:r>
      <w:r w:rsidR="0095574F">
        <w:rPr>
          <w:rFonts w:ascii="Arial" w:hAnsi="Arial" w:cs="Arial"/>
          <w:sz w:val="22"/>
          <w:szCs w:val="22"/>
        </w:rPr>
        <w:t>.</w:t>
      </w:r>
      <w:r w:rsidR="00F93533" w:rsidRPr="00A4399B">
        <w:rPr>
          <w:rFonts w:ascii="Arial" w:hAnsi="Arial" w:cs="Arial"/>
          <w:sz w:val="22"/>
          <w:szCs w:val="22"/>
        </w:rPr>
        <w:t xml:space="preserve"> </w:t>
      </w:r>
      <w:r w:rsidR="0095574F">
        <w:rPr>
          <w:rFonts w:ascii="Arial" w:hAnsi="Arial" w:cs="Arial"/>
          <w:sz w:val="22"/>
          <w:szCs w:val="22"/>
        </w:rPr>
        <w:t>Both</w:t>
      </w:r>
      <w:r w:rsidR="003B362F" w:rsidRPr="00A4399B">
        <w:rPr>
          <w:rFonts w:ascii="Arial" w:hAnsi="Arial" w:cs="Arial"/>
          <w:sz w:val="22"/>
          <w:szCs w:val="22"/>
        </w:rPr>
        <w:t xml:space="preserve"> parties </w:t>
      </w:r>
      <w:r w:rsidR="0095574F">
        <w:rPr>
          <w:rFonts w:ascii="Arial" w:hAnsi="Arial" w:cs="Arial"/>
          <w:sz w:val="22"/>
          <w:szCs w:val="22"/>
        </w:rPr>
        <w:t>were asked</w:t>
      </w:r>
      <w:r w:rsidR="003A4E6C">
        <w:rPr>
          <w:rFonts w:ascii="Arial" w:hAnsi="Arial" w:cs="Arial"/>
          <w:sz w:val="22"/>
          <w:szCs w:val="22"/>
        </w:rPr>
        <w:t xml:space="preserve"> to</w:t>
      </w:r>
      <w:r w:rsidRPr="00A4399B">
        <w:rPr>
          <w:rFonts w:ascii="Arial" w:hAnsi="Arial" w:cs="Arial"/>
          <w:sz w:val="22"/>
          <w:szCs w:val="22"/>
        </w:rPr>
        <w:t xml:space="preserve"> fil</w:t>
      </w:r>
      <w:r w:rsidR="007E3157" w:rsidRPr="00A4399B">
        <w:rPr>
          <w:rFonts w:ascii="Arial" w:hAnsi="Arial" w:cs="Arial"/>
          <w:sz w:val="22"/>
          <w:szCs w:val="22"/>
        </w:rPr>
        <w:t>e</w:t>
      </w:r>
      <w:r w:rsidRPr="00A4399B">
        <w:rPr>
          <w:rFonts w:ascii="Arial" w:hAnsi="Arial" w:cs="Arial"/>
          <w:sz w:val="22"/>
          <w:szCs w:val="22"/>
        </w:rPr>
        <w:t xml:space="preserve"> a composite paginated bundle of evidence</w:t>
      </w:r>
      <w:r w:rsidR="00A20C12" w:rsidRPr="00A4399B">
        <w:rPr>
          <w:rFonts w:ascii="Arial" w:hAnsi="Arial" w:cs="Arial"/>
          <w:sz w:val="22"/>
          <w:szCs w:val="22"/>
        </w:rPr>
        <w:t xml:space="preserve"> and </w:t>
      </w:r>
      <w:r w:rsidR="00653732" w:rsidRPr="00A4399B">
        <w:rPr>
          <w:rFonts w:ascii="Arial" w:hAnsi="Arial" w:cs="Arial"/>
          <w:sz w:val="22"/>
          <w:szCs w:val="22"/>
        </w:rPr>
        <w:t>skeleton arguments</w:t>
      </w:r>
      <w:r w:rsidR="00A20C12" w:rsidRPr="00A4399B">
        <w:rPr>
          <w:rFonts w:ascii="Arial" w:hAnsi="Arial" w:cs="Arial"/>
          <w:sz w:val="22"/>
          <w:szCs w:val="22"/>
        </w:rPr>
        <w:t>.</w:t>
      </w:r>
    </w:p>
    <w:p w14:paraId="596AA97D" w14:textId="77777777" w:rsidR="00977B6A" w:rsidRDefault="00977B6A" w:rsidP="00977B6A">
      <w:pPr>
        <w:pStyle w:val="ListParagraph"/>
        <w:ind w:left="0"/>
        <w:jc w:val="both"/>
        <w:rPr>
          <w:rFonts w:ascii="Arial" w:hAnsi="Arial" w:cs="Arial"/>
          <w:sz w:val="22"/>
          <w:szCs w:val="22"/>
        </w:rPr>
      </w:pPr>
    </w:p>
    <w:p w14:paraId="113A0A64" w14:textId="0884602F" w:rsidR="0057054C" w:rsidRDefault="00A20C12" w:rsidP="00977B6A">
      <w:pPr>
        <w:pStyle w:val="ListParagraph"/>
        <w:ind w:left="0"/>
        <w:jc w:val="both"/>
        <w:rPr>
          <w:rFonts w:ascii="Arial" w:hAnsi="Arial" w:cs="Arial"/>
          <w:sz w:val="22"/>
          <w:szCs w:val="22"/>
        </w:rPr>
      </w:pPr>
      <w:r w:rsidRPr="00A4399B">
        <w:rPr>
          <w:rFonts w:ascii="Arial" w:hAnsi="Arial" w:cs="Arial"/>
          <w:sz w:val="22"/>
          <w:szCs w:val="22"/>
        </w:rPr>
        <w:t xml:space="preserve"> </w:t>
      </w:r>
    </w:p>
    <w:p w14:paraId="15F718E2" w14:textId="552C2253" w:rsidR="00EC67FC" w:rsidRPr="00A4399B" w:rsidRDefault="00EC67FC" w:rsidP="00EC67FC">
      <w:pPr>
        <w:jc w:val="both"/>
        <w:rPr>
          <w:rFonts w:ascii="Arial Black" w:hAnsi="Arial Black" w:cs="Arial"/>
          <w:smallCaps/>
          <w:sz w:val="22"/>
          <w:szCs w:val="22"/>
        </w:rPr>
      </w:pPr>
      <w:r w:rsidRPr="00A4399B">
        <w:rPr>
          <w:rFonts w:ascii="Arial Black" w:hAnsi="Arial Black" w:cs="Arial"/>
          <w:smallCaps/>
          <w:sz w:val="22"/>
          <w:szCs w:val="22"/>
        </w:rPr>
        <w:t xml:space="preserve">Documentary Evidence </w:t>
      </w:r>
    </w:p>
    <w:p w14:paraId="5B2E9E71" w14:textId="77777777" w:rsidR="00EC67FC" w:rsidRPr="00A4399B" w:rsidRDefault="00EC67FC" w:rsidP="00EC67FC">
      <w:pPr>
        <w:tabs>
          <w:tab w:val="num" w:pos="720"/>
        </w:tabs>
        <w:jc w:val="both"/>
        <w:rPr>
          <w:rFonts w:ascii="Arial" w:hAnsi="Arial" w:cs="Arial"/>
          <w:sz w:val="22"/>
          <w:szCs w:val="22"/>
        </w:rPr>
      </w:pPr>
    </w:p>
    <w:p w14:paraId="14FAB644" w14:textId="08BA5455" w:rsidR="008578B0" w:rsidRPr="00A4399B" w:rsidRDefault="003A4E6C" w:rsidP="001E092B">
      <w:pPr>
        <w:numPr>
          <w:ilvl w:val="0"/>
          <w:numId w:val="3"/>
        </w:numPr>
        <w:tabs>
          <w:tab w:val="num" w:pos="0"/>
          <w:tab w:val="num" w:pos="567"/>
        </w:tabs>
        <w:ind w:left="0" w:firstLine="0"/>
        <w:jc w:val="both"/>
        <w:rPr>
          <w:rFonts w:ascii="Arial" w:hAnsi="Arial" w:cs="Arial"/>
          <w:sz w:val="22"/>
          <w:szCs w:val="22"/>
        </w:rPr>
      </w:pPr>
      <w:r>
        <w:rPr>
          <w:rFonts w:ascii="Arial" w:hAnsi="Arial" w:cs="Arial"/>
          <w:sz w:val="22"/>
          <w:szCs w:val="22"/>
        </w:rPr>
        <w:t>I have before me</w:t>
      </w:r>
      <w:r w:rsidR="005E2336">
        <w:rPr>
          <w:rFonts w:ascii="Arial" w:hAnsi="Arial" w:cs="Arial"/>
          <w:sz w:val="22"/>
          <w:szCs w:val="22"/>
        </w:rPr>
        <w:t xml:space="preserve"> an</w:t>
      </w:r>
      <w:r w:rsidR="006F3C10" w:rsidRPr="00A4399B">
        <w:rPr>
          <w:rFonts w:ascii="Arial" w:hAnsi="Arial" w:cs="Arial"/>
          <w:sz w:val="22"/>
          <w:szCs w:val="22"/>
        </w:rPr>
        <w:t xml:space="preserve"> </w:t>
      </w:r>
      <w:r w:rsidR="00473E11" w:rsidRPr="00A4399B">
        <w:rPr>
          <w:rFonts w:ascii="Arial" w:hAnsi="Arial" w:cs="Arial"/>
          <w:sz w:val="22"/>
          <w:szCs w:val="22"/>
        </w:rPr>
        <w:t xml:space="preserve">830-page </w:t>
      </w:r>
      <w:r w:rsidR="005E2336">
        <w:rPr>
          <w:rFonts w:ascii="Arial" w:hAnsi="Arial" w:cs="Arial"/>
          <w:sz w:val="22"/>
          <w:szCs w:val="22"/>
        </w:rPr>
        <w:t>Appeal</w:t>
      </w:r>
      <w:r w:rsidR="006F3C10" w:rsidRPr="00A4399B">
        <w:rPr>
          <w:rFonts w:ascii="Arial" w:hAnsi="Arial" w:cs="Arial"/>
          <w:sz w:val="22"/>
          <w:szCs w:val="22"/>
        </w:rPr>
        <w:t xml:space="preserve"> Bundle</w:t>
      </w:r>
      <w:r w:rsidR="005E2336">
        <w:rPr>
          <w:rFonts w:ascii="Arial" w:hAnsi="Arial" w:cs="Arial"/>
          <w:sz w:val="22"/>
          <w:szCs w:val="22"/>
        </w:rPr>
        <w:t xml:space="preserve"> and</w:t>
      </w:r>
      <w:r w:rsidR="005E2336" w:rsidRPr="00A4399B">
        <w:rPr>
          <w:rFonts w:ascii="Arial" w:hAnsi="Arial" w:cs="Arial"/>
          <w:sz w:val="22"/>
          <w:szCs w:val="22"/>
        </w:rPr>
        <w:t xml:space="preserve"> a 406-page Authorities Bundle</w:t>
      </w:r>
      <w:r w:rsidR="005E2336">
        <w:rPr>
          <w:rFonts w:ascii="Arial" w:hAnsi="Arial" w:cs="Arial"/>
          <w:sz w:val="22"/>
          <w:szCs w:val="22"/>
        </w:rPr>
        <w:t>.</w:t>
      </w:r>
      <w:r w:rsidR="00922D15" w:rsidRPr="00A4399B">
        <w:rPr>
          <w:rFonts w:ascii="Arial" w:hAnsi="Arial" w:cs="Arial"/>
          <w:sz w:val="22"/>
          <w:szCs w:val="22"/>
        </w:rPr>
        <w:t xml:space="preserve"> </w:t>
      </w:r>
      <w:r w:rsidR="00976B63">
        <w:rPr>
          <w:rFonts w:ascii="Arial" w:hAnsi="Arial" w:cs="Arial"/>
          <w:sz w:val="22"/>
          <w:szCs w:val="22"/>
        </w:rPr>
        <w:t>A</w:t>
      </w:r>
      <w:r w:rsidR="00E37CA3" w:rsidRPr="00A4399B">
        <w:rPr>
          <w:rFonts w:ascii="Arial" w:hAnsi="Arial" w:cs="Arial"/>
          <w:sz w:val="22"/>
          <w:szCs w:val="22"/>
        </w:rPr>
        <w:t>t page 210</w:t>
      </w:r>
      <w:r w:rsidR="00976B63">
        <w:rPr>
          <w:rFonts w:ascii="Arial" w:hAnsi="Arial" w:cs="Arial"/>
          <w:sz w:val="22"/>
          <w:szCs w:val="22"/>
        </w:rPr>
        <w:t xml:space="preserve"> of the Appeal Bundle is the</w:t>
      </w:r>
      <w:r w:rsidR="00E37CA3" w:rsidRPr="00A4399B">
        <w:rPr>
          <w:rFonts w:ascii="Arial" w:hAnsi="Arial" w:cs="Arial"/>
          <w:sz w:val="22"/>
          <w:szCs w:val="22"/>
        </w:rPr>
        <w:t xml:space="preserve"> </w:t>
      </w:r>
      <w:bookmarkStart w:id="5" w:name="_Hlk70377712"/>
      <w:r w:rsidR="00E37CA3" w:rsidRPr="00A4399B">
        <w:rPr>
          <w:rFonts w:ascii="Arial" w:hAnsi="Arial" w:cs="Arial"/>
          <w:sz w:val="22"/>
          <w:szCs w:val="22"/>
        </w:rPr>
        <w:t xml:space="preserve">expert </w:t>
      </w:r>
      <w:r w:rsidR="007A196E" w:rsidRPr="00A4399B">
        <w:rPr>
          <w:rFonts w:ascii="Arial" w:hAnsi="Arial" w:cs="Arial"/>
          <w:sz w:val="22"/>
          <w:szCs w:val="22"/>
        </w:rPr>
        <w:t xml:space="preserve">report </w:t>
      </w:r>
      <w:r w:rsidR="00D82FBA" w:rsidRPr="00A4399B">
        <w:rPr>
          <w:rFonts w:ascii="Arial" w:hAnsi="Arial" w:cs="Arial"/>
          <w:sz w:val="22"/>
          <w:szCs w:val="22"/>
        </w:rPr>
        <w:t>of Professor Coker</w:t>
      </w:r>
      <w:r w:rsidR="003A28D1" w:rsidRPr="00A4399B">
        <w:rPr>
          <w:rFonts w:ascii="Arial" w:hAnsi="Arial" w:cs="Arial"/>
          <w:sz w:val="22"/>
          <w:szCs w:val="22"/>
        </w:rPr>
        <w:t xml:space="preserve"> </w:t>
      </w:r>
      <w:bookmarkEnd w:id="5"/>
      <w:r w:rsidR="007A196E" w:rsidRPr="00A4399B">
        <w:rPr>
          <w:rFonts w:ascii="Arial" w:hAnsi="Arial" w:cs="Arial"/>
          <w:sz w:val="22"/>
          <w:szCs w:val="22"/>
        </w:rPr>
        <w:t xml:space="preserve">on </w:t>
      </w:r>
      <w:r w:rsidR="00D82FBA" w:rsidRPr="00A4399B">
        <w:rPr>
          <w:rFonts w:ascii="Arial" w:hAnsi="Arial" w:cs="Arial"/>
          <w:sz w:val="22"/>
          <w:szCs w:val="22"/>
        </w:rPr>
        <w:t>“</w:t>
      </w:r>
      <w:r w:rsidR="00E54B13">
        <w:rPr>
          <w:rFonts w:ascii="Arial" w:hAnsi="Arial" w:cs="Arial"/>
          <w:sz w:val="22"/>
          <w:szCs w:val="22"/>
        </w:rPr>
        <w:t>[</w:t>
      </w:r>
      <w:r w:rsidR="007A196E" w:rsidRPr="00A4399B">
        <w:rPr>
          <w:rFonts w:ascii="Arial" w:hAnsi="Arial" w:cs="Arial"/>
          <w:i/>
          <w:sz w:val="22"/>
          <w:szCs w:val="22"/>
        </w:rPr>
        <w:t>t</w:t>
      </w:r>
      <w:r w:rsidR="00E54B13">
        <w:rPr>
          <w:rFonts w:ascii="Arial" w:hAnsi="Arial" w:cs="Arial"/>
          <w:i/>
          <w:sz w:val="22"/>
          <w:szCs w:val="22"/>
        </w:rPr>
        <w:t>]</w:t>
      </w:r>
      <w:r w:rsidR="007A196E" w:rsidRPr="00A4399B">
        <w:rPr>
          <w:rFonts w:ascii="Arial" w:hAnsi="Arial" w:cs="Arial"/>
          <w:i/>
          <w:sz w:val="22"/>
          <w:szCs w:val="22"/>
        </w:rPr>
        <w:t>he public health implications</w:t>
      </w:r>
      <w:r w:rsidR="009457F3" w:rsidRPr="00A4399B">
        <w:rPr>
          <w:rFonts w:ascii="Arial" w:hAnsi="Arial" w:cs="Arial"/>
          <w:i/>
          <w:sz w:val="22"/>
          <w:szCs w:val="22"/>
        </w:rPr>
        <w:t xml:space="preserve"> of refusing section 4 support and accommodation to failed asylum seekers during the C</w:t>
      </w:r>
      <w:r w:rsidR="00B80218" w:rsidRPr="00A4399B">
        <w:rPr>
          <w:rFonts w:ascii="Arial" w:hAnsi="Arial" w:cs="Arial"/>
          <w:i/>
          <w:sz w:val="22"/>
          <w:szCs w:val="22"/>
        </w:rPr>
        <w:t>OVID</w:t>
      </w:r>
      <w:r w:rsidR="009457F3" w:rsidRPr="00A4399B">
        <w:rPr>
          <w:rFonts w:ascii="Arial" w:hAnsi="Arial" w:cs="Arial"/>
          <w:i/>
          <w:sz w:val="22"/>
          <w:szCs w:val="22"/>
        </w:rPr>
        <w:t>-19 pandemic</w:t>
      </w:r>
      <w:r w:rsidR="009457F3" w:rsidRPr="00A4399B">
        <w:rPr>
          <w:rFonts w:ascii="Arial" w:hAnsi="Arial" w:cs="Arial"/>
          <w:sz w:val="22"/>
          <w:szCs w:val="22"/>
        </w:rPr>
        <w:t>”</w:t>
      </w:r>
      <w:r w:rsidR="007D24E9" w:rsidRPr="00A4399B">
        <w:rPr>
          <w:rFonts w:ascii="Arial" w:hAnsi="Arial" w:cs="Arial"/>
          <w:sz w:val="22"/>
          <w:szCs w:val="22"/>
        </w:rPr>
        <w:t xml:space="preserve">. </w:t>
      </w:r>
      <w:r w:rsidR="00653404" w:rsidRPr="00A4399B">
        <w:rPr>
          <w:rFonts w:ascii="Arial" w:hAnsi="Arial" w:cs="Arial"/>
          <w:sz w:val="22"/>
          <w:szCs w:val="22"/>
        </w:rPr>
        <w:t xml:space="preserve">In addition, </w:t>
      </w:r>
      <w:r w:rsidR="00A1447D" w:rsidRPr="00A4399B">
        <w:rPr>
          <w:rFonts w:ascii="Arial" w:hAnsi="Arial" w:cs="Arial"/>
          <w:sz w:val="22"/>
          <w:szCs w:val="22"/>
        </w:rPr>
        <w:t xml:space="preserve">I received </w:t>
      </w:r>
      <w:r w:rsidR="00552106" w:rsidRPr="00A4399B">
        <w:rPr>
          <w:rFonts w:ascii="Arial" w:hAnsi="Arial" w:cs="Arial"/>
          <w:sz w:val="22"/>
          <w:szCs w:val="22"/>
        </w:rPr>
        <w:t xml:space="preserve">from </w:t>
      </w:r>
      <w:r w:rsidR="00CE5E9A" w:rsidRPr="00A4399B">
        <w:rPr>
          <w:rFonts w:ascii="Arial" w:hAnsi="Arial" w:cs="Arial"/>
          <w:sz w:val="22"/>
          <w:szCs w:val="22"/>
        </w:rPr>
        <w:t>Ms Idelbi</w:t>
      </w:r>
      <w:r w:rsidR="00552106" w:rsidRPr="00A4399B">
        <w:rPr>
          <w:rFonts w:ascii="Arial" w:hAnsi="Arial" w:cs="Arial"/>
          <w:sz w:val="22"/>
          <w:szCs w:val="22"/>
        </w:rPr>
        <w:t xml:space="preserve">, </w:t>
      </w:r>
      <w:r w:rsidR="0026770D" w:rsidRPr="00A4399B">
        <w:rPr>
          <w:rFonts w:ascii="Arial" w:hAnsi="Arial" w:cs="Arial"/>
          <w:sz w:val="22"/>
          <w:szCs w:val="22"/>
        </w:rPr>
        <w:t xml:space="preserve">an </w:t>
      </w:r>
      <w:r w:rsidR="00890483" w:rsidRPr="00A4399B">
        <w:rPr>
          <w:rFonts w:ascii="Arial" w:hAnsi="Arial" w:cs="Arial"/>
          <w:sz w:val="22"/>
          <w:szCs w:val="22"/>
        </w:rPr>
        <w:t>opening note</w:t>
      </w:r>
      <w:r w:rsidR="00BD3E53" w:rsidRPr="00A4399B">
        <w:rPr>
          <w:rFonts w:ascii="Arial" w:hAnsi="Arial" w:cs="Arial"/>
          <w:sz w:val="22"/>
          <w:szCs w:val="22"/>
        </w:rPr>
        <w:t xml:space="preserve"> and </w:t>
      </w:r>
      <w:r w:rsidR="00955514" w:rsidRPr="00A4399B">
        <w:rPr>
          <w:rFonts w:ascii="Arial" w:hAnsi="Arial" w:cs="Arial"/>
          <w:sz w:val="22"/>
          <w:szCs w:val="22"/>
        </w:rPr>
        <w:t xml:space="preserve">skeleton argument. </w:t>
      </w:r>
      <w:r w:rsidR="006E17DA" w:rsidRPr="00A4399B">
        <w:rPr>
          <w:rFonts w:ascii="Arial" w:hAnsi="Arial" w:cs="Arial"/>
          <w:sz w:val="22"/>
          <w:szCs w:val="22"/>
        </w:rPr>
        <w:t>I also received a skeleton argument from Mr Cox</w:t>
      </w:r>
      <w:r w:rsidR="00A372EC" w:rsidRPr="00A4399B">
        <w:rPr>
          <w:rFonts w:ascii="Arial" w:hAnsi="Arial" w:cs="Arial"/>
          <w:sz w:val="22"/>
          <w:szCs w:val="22"/>
        </w:rPr>
        <w:t xml:space="preserve">. </w:t>
      </w:r>
      <w:r w:rsidR="002569E8" w:rsidRPr="00A4399B">
        <w:rPr>
          <w:rFonts w:ascii="Arial" w:hAnsi="Arial" w:cs="Arial"/>
          <w:sz w:val="22"/>
          <w:szCs w:val="22"/>
        </w:rPr>
        <w:t xml:space="preserve"> </w:t>
      </w:r>
      <w:r w:rsidR="006D0D6B" w:rsidRPr="00A4399B">
        <w:rPr>
          <w:rFonts w:ascii="Arial" w:hAnsi="Arial" w:cs="Arial"/>
          <w:sz w:val="22"/>
          <w:szCs w:val="22"/>
        </w:rPr>
        <w:t xml:space="preserve">Additionally, </w:t>
      </w:r>
      <w:r w:rsidR="00E54B13">
        <w:rPr>
          <w:rFonts w:ascii="Arial" w:hAnsi="Arial" w:cs="Arial"/>
          <w:sz w:val="22"/>
          <w:szCs w:val="22"/>
        </w:rPr>
        <w:t>on</w:t>
      </w:r>
      <w:r w:rsidR="006D0D6B" w:rsidRPr="00A4399B">
        <w:rPr>
          <w:rFonts w:ascii="Arial" w:hAnsi="Arial" w:cs="Arial"/>
          <w:sz w:val="22"/>
          <w:szCs w:val="22"/>
        </w:rPr>
        <w:t xml:space="preserve"> 20 April 2021</w:t>
      </w:r>
      <w:r w:rsidR="000678CF" w:rsidRPr="00A4399B">
        <w:rPr>
          <w:rFonts w:ascii="Arial" w:hAnsi="Arial" w:cs="Arial"/>
          <w:sz w:val="22"/>
          <w:szCs w:val="22"/>
        </w:rPr>
        <w:t xml:space="preserve">, </w:t>
      </w:r>
      <w:r w:rsidR="00924462" w:rsidRPr="00A4399B">
        <w:rPr>
          <w:rFonts w:ascii="Arial" w:hAnsi="Arial" w:cs="Arial"/>
          <w:sz w:val="22"/>
          <w:szCs w:val="22"/>
        </w:rPr>
        <w:t>DPG solicitors</w:t>
      </w:r>
      <w:r w:rsidR="00536DF7" w:rsidRPr="00A4399B">
        <w:rPr>
          <w:rFonts w:ascii="Arial" w:hAnsi="Arial" w:cs="Arial"/>
          <w:sz w:val="22"/>
          <w:szCs w:val="22"/>
        </w:rPr>
        <w:t xml:space="preserve"> sent to the Tribunal and the respondent a copy of the</w:t>
      </w:r>
      <w:r w:rsidR="000678CF" w:rsidRPr="00A4399B">
        <w:rPr>
          <w:rFonts w:ascii="Arial" w:hAnsi="Arial" w:cs="Arial"/>
          <w:sz w:val="22"/>
          <w:szCs w:val="22"/>
        </w:rPr>
        <w:t xml:space="preserve"> appellant’s further submissions drafted by</w:t>
      </w:r>
      <w:r w:rsidR="00536DF7" w:rsidRPr="00A4399B">
        <w:rPr>
          <w:rFonts w:ascii="Arial" w:hAnsi="Arial" w:cs="Arial"/>
          <w:sz w:val="22"/>
          <w:szCs w:val="22"/>
        </w:rPr>
        <w:t xml:space="preserve"> his new immigration </w:t>
      </w:r>
      <w:r w:rsidR="00886075" w:rsidRPr="00A4399B">
        <w:rPr>
          <w:rFonts w:ascii="Arial" w:hAnsi="Arial" w:cs="Arial"/>
          <w:sz w:val="22"/>
          <w:szCs w:val="22"/>
        </w:rPr>
        <w:t>lawyers Duncan Lewis</w:t>
      </w:r>
      <w:r w:rsidR="00D4437F" w:rsidRPr="00A4399B">
        <w:rPr>
          <w:rFonts w:ascii="Arial" w:hAnsi="Arial" w:cs="Arial"/>
          <w:sz w:val="22"/>
          <w:szCs w:val="22"/>
        </w:rPr>
        <w:t>, together with proof of transmission to the Further Representations Unit</w:t>
      </w:r>
      <w:r w:rsidR="009D5E43" w:rsidRPr="00A4399B">
        <w:rPr>
          <w:rFonts w:ascii="Arial" w:hAnsi="Arial" w:cs="Arial"/>
          <w:sz w:val="22"/>
          <w:szCs w:val="22"/>
        </w:rPr>
        <w:t xml:space="preserve"> </w:t>
      </w:r>
      <w:r w:rsidR="001057E9" w:rsidRPr="00A4399B">
        <w:rPr>
          <w:rFonts w:ascii="Arial" w:hAnsi="Arial" w:cs="Arial"/>
          <w:sz w:val="22"/>
          <w:szCs w:val="22"/>
        </w:rPr>
        <w:t xml:space="preserve">(FSU) </w:t>
      </w:r>
      <w:r w:rsidR="009D5E43" w:rsidRPr="00A4399B">
        <w:rPr>
          <w:rFonts w:ascii="Arial" w:hAnsi="Arial" w:cs="Arial"/>
          <w:sz w:val="22"/>
          <w:szCs w:val="22"/>
        </w:rPr>
        <w:t>by email.</w:t>
      </w:r>
    </w:p>
    <w:p w14:paraId="427E3C48" w14:textId="7FDB69C6" w:rsidR="003C4E76" w:rsidRPr="00A4399B" w:rsidRDefault="003C4E76" w:rsidP="003C4E76">
      <w:pPr>
        <w:tabs>
          <w:tab w:val="num" w:pos="720"/>
        </w:tabs>
        <w:jc w:val="both"/>
        <w:rPr>
          <w:rFonts w:ascii="Arial" w:hAnsi="Arial" w:cs="Arial"/>
          <w:sz w:val="22"/>
          <w:szCs w:val="22"/>
        </w:rPr>
      </w:pPr>
    </w:p>
    <w:p w14:paraId="7C0AED24" w14:textId="77777777" w:rsidR="003C4E76" w:rsidRPr="00A4399B" w:rsidRDefault="003C4E76" w:rsidP="003C4E76">
      <w:pPr>
        <w:jc w:val="both"/>
        <w:rPr>
          <w:rFonts w:ascii="Arial" w:hAnsi="Arial" w:cs="Arial"/>
          <w:b/>
          <w:i/>
          <w:sz w:val="22"/>
          <w:szCs w:val="22"/>
        </w:rPr>
      </w:pPr>
      <w:r w:rsidRPr="00A4399B">
        <w:rPr>
          <w:rFonts w:ascii="Arial" w:hAnsi="Arial" w:cs="Arial"/>
          <w:b/>
          <w:sz w:val="22"/>
          <w:szCs w:val="22"/>
        </w:rPr>
        <w:t>Professor Coker’s Expert Report</w:t>
      </w:r>
    </w:p>
    <w:p w14:paraId="4A38871F" w14:textId="77777777" w:rsidR="003C4E76" w:rsidRPr="00A4399B" w:rsidRDefault="003C4E76" w:rsidP="003C4E76">
      <w:pPr>
        <w:jc w:val="both"/>
        <w:rPr>
          <w:rFonts w:ascii="Arial" w:hAnsi="Arial" w:cs="Arial"/>
          <w:b/>
          <w:sz w:val="22"/>
          <w:szCs w:val="22"/>
        </w:rPr>
      </w:pPr>
    </w:p>
    <w:p w14:paraId="2581EEEA" w14:textId="785674CE" w:rsidR="006D1980" w:rsidRDefault="00A9216A" w:rsidP="00E42136">
      <w:pPr>
        <w:numPr>
          <w:ilvl w:val="0"/>
          <w:numId w:val="3"/>
        </w:numPr>
        <w:tabs>
          <w:tab w:val="clear" w:pos="1004"/>
          <w:tab w:val="num" w:pos="567"/>
        </w:tabs>
        <w:spacing w:before="100" w:beforeAutospacing="1" w:after="100" w:afterAutospacing="1"/>
        <w:ind w:left="0" w:firstLine="0"/>
        <w:contextualSpacing/>
        <w:jc w:val="both"/>
        <w:rPr>
          <w:rFonts w:ascii="Arial" w:hAnsi="Arial" w:cs="Arial"/>
          <w:sz w:val="22"/>
          <w:szCs w:val="22"/>
        </w:rPr>
      </w:pPr>
      <w:r w:rsidRPr="00A4399B">
        <w:rPr>
          <w:rFonts w:ascii="Arial" w:hAnsi="Arial" w:cs="Arial"/>
          <w:sz w:val="22"/>
          <w:szCs w:val="22"/>
        </w:rPr>
        <w:t xml:space="preserve">I have </w:t>
      </w:r>
      <w:r w:rsidR="006141D9" w:rsidRPr="00A4399B">
        <w:rPr>
          <w:rFonts w:ascii="Arial" w:hAnsi="Arial" w:cs="Arial"/>
          <w:sz w:val="22"/>
          <w:szCs w:val="22"/>
        </w:rPr>
        <w:t xml:space="preserve">read </w:t>
      </w:r>
      <w:r w:rsidR="00ED380A" w:rsidRPr="00A4399B">
        <w:rPr>
          <w:rFonts w:ascii="Arial" w:hAnsi="Arial" w:cs="Arial"/>
          <w:sz w:val="22"/>
          <w:szCs w:val="22"/>
        </w:rPr>
        <w:t>Professor Coker</w:t>
      </w:r>
      <w:r w:rsidR="006141D9" w:rsidRPr="00A4399B">
        <w:rPr>
          <w:rFonts w:ascii="Arial" w:hAnsi="Arial" w:cs="Arial"/>
          <w:sz w:val="22"/>
          <w:szCs w:val="22"/>
        </w:rPr>
        <w:t>’s</w:t>
      </w:r>
      <w:r w:rsidR="00ED380A" w:rsidRPr="00A4399B">
        <w:rPr>
          <w:rFonts w:ascii="Arial" w:hAnsi="Arial" w:cs="Arial"/>
          <w:sz w:val="22"/>
          <w:szCs w:val="22"/>
        </w:rPr>
        <w:t xml:space="preserve"> </w:t>
      </w:r>
      <w:r w:rsidR="007B6A6F">
        <w:rPr>
          <w:rFonts w:ascii="Arial" w:hAnsi="Arial" w:cs="Arial"/>
          <w:sz w:val="22"/>
          <w:szCs w:val="22"/>
        </w:rPr>
        <w:t>e</w:t>
      </w:r>
      <w:r w:rsidR="00261ED7" w:rsidRPr="00A4399B">
        <w:rPr>
          <w:rFonts w:ascii="Arial" w:hAnsi="Arial" w:cs="Arial"/>
          <w:sz w:val="22"/>
          <w:szCs w:val="22"/>
        </w:rPr>
        <w:t>xpert report</w:t>
      </w:r>
      <w:r w:rsidR="00044BFF">
        <w:rPr>
          <w:rFonts w:ascii="Arial" w:hAnsi="Arial" w:cs="Arial"/>
          <w:sz w:val="22"/>
          <w:szCs w:val="22"/>
        </w:rPr>
        <w:t xml:space="preserve"> </w:t>
      </w:r>
      <w:r w:rsidR="00F57CEE" w:rsidRPr="00A4399B">
        <w:rPr>
          <w:rFonts w:ascii="Arial" w:hAnsi="Arial" w:cs="Arial"/>
          <w:sz w:val="22"/>
          <w:szCs w:val="22"/>
        </w:rPr>
        <w:t>dated 26 March 2021</w:t>
      </w:r>
      <w:r w:rsidR="00044BFF">
        <w:rPr>
          <w:rFonts w:ascii="Arial" w:hAnsi="Arial" w:cs="Arial"/>
          <w:sz w:val="22"/>
          <w:szCs w:val="22"/>
        </w:rPr>
        <w:t>.</w:t>
      </w:r>
      <w:r w:rsidR="00067B9D" w:rsidRPr="00A4399B">
        <w:rPr>
          <w:rFonts w:ascii="Arial" w:hAnsi="Arial" w:cs="Arial"/>
          <w:sz w:val="22"/>
          <w:szCs w:val="22"/>
        </w:rPr>
        <w:t xml:space="preserve"> </w:t>
      </w:r>
      <w:r w:rsidR="00044BFF">
        <w:rPr>
          <w:rFonts w:ascii="Arial" w:hAnsi="Arial" w:cs="Arial"/>
          <w:sz w:val="22"/>
          <w:szCs w:val="22"/>
        </w:rPr>
        <w:t>It</w:t>
      </w:r>
      <w:r w:rsidR="00F57CEE" w:rsidRPr="00A4399B">
        <w:rPr>
          <w:rFonts w:ascii="Arial" w:hAnsi="Arial" w:cs="Arial"/>
          <w:sz w:val="22"/>
          <w:szCs w:val="22"/>
        </w:rPr>
        <w:t xml:space="preserve"> was obtained</w:t>
      </w:r>
      <w:r w:rsidR="00C203EA" w:rsidRPr="00A4399B">
        <w:rPr>
          <w:rFonts w:ascii="Arial" w:hAnsi="Arial" w:cs="Arial"/>
          <w:sz w:val="22"/>
          <w:szCs w:val="22"/>
        </w:rPr>
        <w:t xml:space="preserve"> for the </w:t>
      </w:r>
      <w:r w:rsidR="00C203EA" w:rsidRPr="00A4399B">
        <w:rPr>
          <w:rFonts w:ascii="Arial" w:hAnsi="Arial" w:cs="Arial"/>
          <w:i/>
          <w:sz w:val="22"/>
          <w:szCs w:val="22"/>
        </w:rPr>
        <w:t>KMI and EW</w:t>
      </w:r>
      <w:r w:rsidR="00C203EA" w:rsidRPr="00A4399B">
        <w:rPr>
          <w:rFonts w:ascii="Arial" w:hAnsi="Arial" w:cs="Arial"/>
          <w:sz w:val="22"/>
          <w:szCs w:val="22"/>
        </w:rPr>
        <w:t xml:space="preserve"> litigation</w:t>
      </w:r>
      <w:r w:rsidR="00243BBF" w:rsidRPr="00A4399B">
        <w:rPr>
          <w:rFonts w:ascii="Arial" w:hAnsi="Arial" w:cs="Arial"/>
          <w:sz w:val="22"/>
          <w:szCs w:val="22"/>
        </w:rPr>
        <w:t>,</w:t>
      </w:r>
      <w:r w:rsidR="008638C2" w:rsidRPr="00A4399B">
        <w:rPr>
          <w:rFonts w:ascii="Arial" w:hAnsi="Arial" w:cs="Arial"/>
          <w:sz w:val="22"/>
          <w:szCs w:val="22"/>
        </w:rPr>
        <w:t xml:space="preserve"> </w:t>
      </w:r>
      <w:r w:rsidR="00DD5728" w:rsidRPr="00A4399B">
        <w:rPr>
          <w:rFonts w:ascii="Arial" w:hAnsi="Arial" w:cs="Arial"/>
          <w:sz w:val="22"/>
          <w:szCs w:val="22"/>
        </w:rPr>
        <w:t>but as the title suggests</w:t>
      </w:r>
      <w:r w:rsidR="0002243C" w:rsidRPr="00A4399B">
        <w:rPr>
          <w:rFonts w:ascii="Arial" w:hAnsi="Arial" w:cs="Arial"/>
          <w:sz w:val="22"/>
          <w:szCs w:val="22"/>
        </w:rPr>
        <w:t>, it contains</w:t>
      </w:r>
      <w:r w:rsidR="000B78E7" w:rsidRPr="00A4399B">
        <w:rPr>
          <w:rFonts w:ascii="Arial" w:hAnsi="Arial" w:cs="Arial"/>
          <w:sz w:val="22"/>
          <w:szCs w:val="22"/>
        </w:rPr>
        <w:t xml:space="preserve"> information </w:t>
      </w:r>
      <w:r w:rsidR="00243BBF" w:rsidRPr="00A4399B">
        <w:rPr>
          <w:rFonts w:ascii="Arial" w:hAnsi="Arial" w:cs="Arial"/>
          <w:sz w:val="22"/>
          <w:szCs w:val="22"/>
        </w:rPr>
        <w:t>relevant to an assessment</w:t>
      </w:r>
      <w:r w:rsidR="00F6765F" w:rsidRPr="00A4399B">
        <w:rPr>
          <w:rFonts w:ascii="Arial" w:hAnsi="Arial" w:cs="Arial"/>
          <w:sz w:val="22"/>
          <w:szCs w:val="22"/>
        </w:rPr>
        <w:t xml:space="preserve"> of </w:t>
      </w:r>
      <w:r w:rsidR="00836C81" w:rsidRPr="00A4399B">
        <w:rPr>
          <w:rFonts w:ascii="Arial" w:hAnsi="Arial" w:cs="Arial"/>
          <w:sz w:val="22"/>
          <w:szCs w:val="22"/>
        </w:rPr>
        <w:t xml:space="preserve">the </w:t>
      </w:r>
      <w:r w:rsidR="00E144EC" w:rsidRPr="00A4399B">
        <w:rPr>
          <w:rFonts w:ascii="Arial" w:hAnsi="Arial" w:cs="Arial"/>
          <w:sz w:val="22"/>
          <w:szCs w:val="22"/>
        </w:rPr>
        <w:t>risk posed t</w:t>
      </w:r>
      <w:r w:rsidR="00F6765F" w:rsidRPr="00A4399B">
        <w:rPr>
          <w:rFonts w:ascii="Arial" w:hAnsi="Arial" w:cs="Arial"/>
          <w:sz w:val="22"/>
          <w:szCs w:val="22"/>
        </w:rPr>
        <w:t>o the</w:t>
      </w:r>
      <w:r w:rsidR="00E144EC" w:rsidRPr="00A4399B">
        <w:rPr>
          <w:rFonts w:ascii="Arial" w:hAnsi="Arial" w:cs="Arial"/>
          <w:sz w:val="22"/>
          <w:szCs w:val="22"/>
        </w:rPr>
        <w:t xml:space="preserve"> failed asylum</w:t>
      </w:r>
      <w:r w:rsidR="00D87CED" w:rsidRPr="00A4399B">
        <w:rPr>
          <w:rFonts w:ascii="Arial" w:hAnsi="Arial" w:cs="Arial"/>
          <w:sz w:val="22"/>
          <w:szCs w:val="22"/>
        </w:rPr>
        <w:t>-</w:t>
      </w:r>
      <w:r w:rsidR="00E144EC" w:rsidRPr="00A4399B">
        <w:rPr>
          <w:rFonts w:ascii="Arial" w:hAnsi="Arial" w:cs="Arial"/>
          <w:sz w:val="22"/>
          <w:szCs w:val="22"/>
        </w:rPr>
        <w:t xml:space="preserve">seeking community </w:t>
      </w:r>
      <w:r w:rsidR="00836C81" w:rsidRPr="00A4399B">
        <w:rPr>
          <w:rFonts w:ascii="Arial" w:hAnsi="Arial" w:cs="Arial"/>
          <w:sz w:val="22"/>
          <w:szCs w:val="22"/>
        </w:rPr>
        <w:t>of living in overcrowded accommodation</w:t>
      </w:r>
      <w:r w:rsidR="007B5FD1" w:rsidRPr="00A4399B">
        <w:rPr>
          <w:rFonts w:ascii="Arial" w:hAnsi="Arial" w:cs="Arial"/>
          <w:sz w:val="22"/>
          <w:szCs w:val="22"/>
        </w:rPr>
        <w:t xml:space="preserve"> with shared facilities (e.g. when sofa-surfing), street homeless</w:t>
      </w:r>
      <w:r w:rsidR="00D87CED" w:rsidRPr="00A4399B">
        <w:rPr>
          <w:rFonts w:ascii="Arial" w:hAnsi="Arial" w:cs="Arial"/>
          <w:sz w:val="22"/>
          <w:szCs w:val="22"/>
        </w:rPr>
        <w:t xml:space="preserve"> or living in </w:t>
      </w:r>
      <w:r w:rsidR="0036788E" w:rsidRPr="00A4399B">
        <w:rPr>
          <w:rFonts w:ascii="Arial" w:hAnsi="Arial" w:cs="Arial"/>
          <w:sz w:val="22"/>
          <w:szCs w:val="22"/>
        </w:rPr>
        <w:t>self-contained</w:t>
      </w:r>
      <w:r w:rsidR="00D87CED" w:rsidRPr="00A4399B">
        <w:rPr>
          <w:rFonts w:ascii="Arial" w:hAnsi="Arial" w:cs="Arial"/>
          <w:sz w:val="22"/>
          <w:szCs w:val="22"/>
        </w:rPr>
        <w:t xml:space="preserve"> accommodation.</w:t>
      </w:r>
      <w:r w:rsidR="005950C0" w:rsidRPr="00A4399B">
        <w:rPr>
          <w:rFonts w:ascii="Arial" w:hAnsi="Arial" w:cs="Arial"/>
          <w:sz w:val="22"/>
          <w:szCs w:val="22"/>
        </w:rPr>
        <w:t xml:space="preserve"> </w:t>
      </w:r>
      <w:r w:rsidR="0054618D" w:rsidRPr="00A4399B">
        <w:rPr>
          <w:rFonts w:ascii="Arial" w:hAnsi="Arial" w:cs="Arial"/>
          <w:sz w:val="22"/>
          <w:szCs w:val="22"/>
        </w:rPr>
        <w:t>What</w:t>
      </w:r>
      <w:r w:rsidR="005950C0" w:rsidRPr="00A4399B">
        <w:rPr>
          <w:rFonts w:ascii="Arial" w:hAnsi="Arial" w:cs="Arial"/>
          <w:sz w:val="22"/>
          <w:szCs w:val="22"/>
        </w:rPr>
        <w:t xml:space="preserve"> follow</w:t>
      </w:r>
      <w:r w:rsidR="0054618D" w:rsidRPr="00A4399B">
        <w:rPr>
          <w:rFonts w:ascii="Arial" w:hAnsi="Arial" w:cs="Arial"/>
          <w:sz w:val="22"/>
          <w:szCs w:val="22"/>
        </w:rPr>
        <w:t xml:space="preserve">s is a summary of </w:t>
      </w:r>
      <w:r w:rsidR="00936041" w:rsidRPr="00A4399B">
        <w:rPr>
          <w:rFonts w:ascii="Arial" w:hAnsi="Arial" w:cs="Arial"/>
          <w:sz w:val="22"/>
          <w:szCs w:val="22"/>
        </w:rPr>
        <w:t>Professor Coker’s findings</w:t>
      </w:r>
      <w:r w:rsidR="0054618D" w:rsidRPr="00A4399B">
        <w:rPr>
          <w:rFonts w:ascii="Arial" w:hAnsi="Arial" w:cs="Arial"/>
          <w:sz w:val="22"/>
          <w:szCs w:val="22"/>
        </w:rPr>
        <w:t>.</w:t>
      </w:r>
    </w:p>
    <w:p w14:paraId="27CC0836" w14:textId="77777777" w:rsidR="000D4BE3" w:rsidRPr="00A4399B" w:rsidRDefault="000D4BE3" w:rsidP="000D4BE3">
      <w:pPr>
        <w:spacing w:before="100" w:beforeAutospacing="1" w:after="100" w:afterAutospacing="1"/>
        <w:contextualSpacing/>
        <w:jc w:val="both"/>
        <w:rPr>
          <w:rFonts w:ascii="Arial" w:hAnsi="Arial" w:cs="Arial"/>
          <w:sz w:val="22"/>
          <w:szCs w:val="22"/>
        </w:rPr>
      </w:pPr>
    </w:p>
    <w:p w14:paraId="75A492A4" w14:textId="4EABC49E" w:rsidR="003C4E76" w:rsidRPr="00A4399B" w:rsidRDefault="00D54FA6" w:rsidP="00E42136">
      <w:pPr>
        <w:numPr>
          <w:ilvl w:val="0"/>
          <w:numId w:val="3"/>
        </w:numPr>
        <w:tabs>
          <w:tab w:val="clear" w:pos="1004"/>
          <w:tab w:val="num" w:pos="567"/>
        </w:tabs>
        <w:spacing w:before="100" w:beforeAutospacing="1" w:after="100" w:afterAutospacing="1"/>
        <w:ind w:left="0" w:firstLine="0"/>
        <w:contextualSpacing/>
        <w:jc w:val="both"/>
        <w:rPr>
          <w:rFonts w:ascii="Arial" w:hAnsi="Arial" w:cs="Arial"/>
          <w:sz w:val="22"/>
          <w:szCs w:val="22"/>
        </w:rPr>
      </w:pPr>
      <w:r w:rsidRPr="00A4399B">
        <w:rPr>
          <w:rFonts w:ascii="Arial" w:hAnsi="Arial" w:cs="Arial"/>
          <w:sz w:val="22"/>
          <w:szCs w:val="22"/>
        </w:rPr>
        <w:t>COVID-19</w:t>
      </w:r>
      <w:r w:rsidR="004C2A3B" w:rsidRPr="00A4399B">
        <w:rPr>
          <w:rFonts w:ascii="Arial" w:hAnsi="Arial" w:cs="Arial"/>
          <w:sz w:val="22"/>
          <w:szCs w:val="22"/>
        </w:rPr>
        <w:t xml:space="preserve"> is the disease caused by the coronavirus known as SARS</w:t>
      </w:r>
      <w:r w:rsidR="0037085A" w:rsidRPr="00A4399B">
        <w:rPr>
          <w:rFonts w:ascii="Arial" w:hAnsi="Arial" w:cs="Arial"/>
          <w:sz w:val="22"/>
          <w:szCs w:val="22"/>
        </w:rPr>
        <w:t>-CoV-2</w:t>
      </w:r>
      <w:r w:rsidR="00E1145E" w:rsidRPr="00A4399B">
        <w:rPr>
          <w:rFonts w:ascii="Arial" w:hAnsi="Arial" w:cs="Arial"/>
          <w:sz w:val="22"/>
          <w:szCs w:val="22"/>
        </w:rPr>
        <w:t>. It is spread mainly via droplets</w:t>
      </w:r>
      <w:r w:rsidR="00AA4CBD" w:rsidRPr="00A4399B">
        <w:rPr>
          <w:rFonts w:ascii="Arial" w:hAnsi="Arial" w:cs="Arial"/>
          <w:sz w:val="22"/>
          <w:szCs w:val="22"/>
        </w:rPr>
        <w:t>, person to person</w:t>
      </w:r>
      <w:r w:rsidR="00972D74" w:rsidRPr="00A4399B">
        <w:rPr>
          <w:rFonts w:ascii="Arial" w:hAnsi="Arial" w:cs="Arial"/>
          <w:sz w:val="22"/>
          <w:szCs w:val="22"/>
        </w:rPr>
        <w:t xml:space="preserve"> but</w:t>
      </w:r>
      <w:r w:rsidR="003630F7" w:rsidRPr="00A4399B">
        <w:rPr>
          <w:rFonts w:ascii="Arial" w:hAnsi="Arial" w:cs="Arial"/>
          <w:sz w:val="22"/>
          <w:szCs w:val="22"/>
        </w:rPr>
        <w:t xml:space="preserve"> can also occur by touching infected surfaces.</w:t>
      </w:r>
      <w:r w:rsidR="003612BE" w:rsidRPr="00A4399B">
        <w:rPr>
          <w:rFonts w:ascii="Arial" w:hAnsi="Arial" w:cs="Arial"/>
          <w:sz w:val="22"/>
          <w:szCs w:val="22"/>
        </w:rPr>
        <w:t xml:space="preserve"> There is good evidence that it can be spread by those</w:t>
      </w:r>
      <w:r w:rsidR="002958C7" w:rsidRPr="00A4399B">
        <w:rPr>
          <w:rFonts w:ascii="Arial" w:hAnsi="Arial" w:cs="Arial"/>
          <w:sz w:val="22"/>
          <w:szCs w:val="22"/>
        </w:rPr>
        <w:t xml:space="preserve"> without symptoms</w:t>
      </w:r>
      <w:r w:rsidR="003C2ED7" w:rsidRPr="00A4399B">
        <w:rPr>
          <w:rFonts w:ascii="Arial" w:hAnsi="Arial" w:cs="Arial"/>
          <w:sz w:val="22"/>
          <w:szCs w:val="22"/>
        </w:rPr>
        <w:t>.</w:t>
      </w:r>
      <w:r w:rsidR="009D6409" w:rsidRPr="00A4399B">
        <w:rPr>
          <w:rFonts w:ascii="Arial" w:hAnsi="Arial" w:cs="Arial"/>
          <w:sz w:val="22"/>
          <w:szCs w:val="22"/>
        </w:rPr>
        <w:t xml:space="preserve"> A</w:t>
      </w:r>
      <w:r w:rsidR="00B1729F" w:rsidRPr="00A4399B">
        <w:rPr>
          <w:rFonts w:ascii="Arial" w:hAnsi="Arial" w:cs="Arial"/>
          <w:sz w:val="22"/>
          <w:szCs w:val="22"/>
        </w:rPr>
        <w:t>erosol transmission is also possible.</w:t>
      </w:r>
      <w:r w:rsidR="003D58C3" w:rsidRPr="00A4399B">
        <w:rPr>
          <w:rFonts w:ascii="Arial" w:hAnsi="Arial" w:cs="Arial"/>
          <w:sz w:val="22"/>
          <w:szCs w:val="22"/>
        </w:rPr>
        <w:t xml:space="preserve"> Humans ordinarily expel particle</w:t>
      </w:r>
      <w:r w:rsidR="0085609A" w:rsidRPr="00A4399B">
        <w:rPr>
          <w:rFonts w:ascii="Arial" w:hAnsi="Arial" w:cs="Arial"/>
          <w:sz w:val="22"/>
          <w:szCs w:val="22"/>
        </w:rPr>
        <w:t>s from the mouth and nose while breathing, talking, singing and coughing</w:t>
      </w:r>
      <w:r w:rsidR="00B25E64" w:rsidRPr="00A4399B">
        <w:rPr>
          <w:rFonts w:ascii="Arial" w:hAnsi="Arial" w:cs="Arial"/>
          <w:sz w:val="22"/>
          <w:szCs w:val="22"/>
        </w:rPr>
        <w:t>. The virus can remain viable in suspended aerosols up to 16 hours p</w:t>
      </w:r>
      <w:r w:rsidR="00652619" w:rsidRPr="00A4399B">
        <w:rPr>
          <w:rFonts w:ascii="Arial" w:hAnsi="Arial" w:cs="Arial"/>
          <w:sz w:val="22"/>
          <w:szCs w:val="22"/>
        </w:rPr>
        <w:t>ost aerosolization and viable virus can be detected</w:t>
      </w:r>
      <w:r w:rsidR="00340002" w:rsidRPr="00A4399B">
        <w:rPr>
          <w:rFonts w:ascii="Arial" w:hAnsi="Arial" w:cs="Arial"/>
          <w:sz w:val="22"/>
          <w:szCs w:val="22"/>
        </w:rPr>
        <w:t xml:space="preserve"> up to 4 metres from patients</w:t>
      </w:r>
      <w:r w:rsidR="000E3F01" w:rsidRPr="00A4399B">
        <w:rPr>
          <w:rFonts w:ascii="Arial" w:hAnsi="Arial" w:cs="Arial"/>
          <w:sz w:val="22"/>
          <w:szCs w:val="22"/>
        </w:rPr>
        <w:t xml:space="preserve">. In Professor Coker’s expert opinion, </w:t>
      </w:r>
      <w:r w:rsidR="00707DF4" w:rsidRPr="00A4399B">
        <w:rPr>
          <w:rFonts w:ascii="Arial" w:hAnsi="Arial" w:cs="Arial"/>
          <w:sz w:val="22"/>
          <w:szCs w:val="22"/>
        </w:rPr>
        <w:t>this means that</w:t>
      </w:r>
      <w:r w:rsidR="00340002" w:rsidRPr="00A4399B">
        <w:rPr>
          <w:rFonts w:ascii="Arial" w:hAnsi="Arial" w:cs="Arial"/>
          <w:sz w:val="22"/>
          <w:szCs w:val="22"/>
        </w:rPr>
        <w:t xml:space="preserve"> “</w:t>
      </w:r>
      <w:r w:rsidR="00707DF4" w:rsidRPr="00A4399B">
        <w:rPr>
          <w:rFonts w:ascii="Arial" w:hAnsi="Arial" w:cs="Arial"/>
          <w:sz w:val="22"/>
          <w:szCs w:val="22"/>
        </w:rPr>
        <w:t>…</w:t>
      </w:r>
      <w:r w:rsidR="00340002" w:rsidRPr="00A4399B">
        <w:rPr>
          <w:rFonts w:ascii="Arial" w:hAnsi="Arial" w:cs="Arial"/>
          <w:sz w:val="22"/>
          <w:szCs w:val="22"/>
        </w:rPr>
        <w:t>spread within congregate</w:t>
      </w:r>
      <w:r w:rsidR="00346817" w:rsidRPr="00A4399B">
        <w:rPr>
          <w:rFonts w:ascii="Arial" w:hAnsi="Arial" w:cs="Arial"/>
          <w:sz w:val="22"/>
          <w:szCs w:val="22"/>
        </w:rPr>
        <w:t xml:space="preserve"> settings is a substantial risk.” (1.8)</w:t>
      </w:r>
      <w:r w:rsidR="008224D8" w:rsidRPr="00A4399B">
        <w:rPr>
          <w:rFonts w:ascii="Arial" w:hAnsi="Arial" w:cs="Arial"/>
          <w:sz w:val="22"/>
          <w:szCs w:val="22"/>
        </w:rPr>
        <w:t>.</w:t>
      </w:r>
      <w:r w:rsidR="003D4264" w:rsidRPr="00A4399B">
        <w:rPr>
          <w:rFonts w:ascii="Arial" w:hAnsi="Arial" w:cs="Arial"/>
          <w:sz w:val="22"/>
          <w:szCs w:val="22"/>
        </w:rPr>
        <w:t xml:space="preserve"> Super</w:t>
      </w:r>
      <w:r w:rsidR="00672536" w:rsidRPr="00A4399B">
        <w:rPr>
          <w:rFonts w:ascii="Arial" w:hAnsi="Arial" w:cs="Arial"/>
          <w:sz w:val="22"/>
          <w:szCs w:val="22"/>
        </w:rPr>
        <w:t>-</w:t>
      </w:r>
      <w:r w:rsidR="003D4264" w:rsidRPr="00A4399B">
        <w:rPr>
          <w:rFonts w:ascii="Arial" w:hAnsi="Arial" w:cs="Arial"/>
          <w:sz w:val="22"/>
          <w:szCs w:val="22"/>
        </w:rPr>
        <w:t>spreader events occur in poorly ventilated indoor spaces</w:t>
      </w:r>
      <w:r w:rsidR="005950C0" w:rsidRPr="00A4399B">
        <w:rPr>
          <w:rFonts w:ascii="Arial" w:hAnsi="Arial" w:cs="Arial"/>
          <w:sz w:val="22"/>
          <w:szCs w:val="22"/>
        </w:rPr>
        <w:t>.</w:t>
      </w:r>
      <w:r w:rsidR="00CB3065" w:rsidRPr="00A4399B">
        <w:rPr>
          <w:rFonts w:ascii="Arial" w:hAnsi="Arial" w:cs="Arial"/>
          <w:sz w:val="22"/>
          <w:szCs w:val="22"/>
        </w:rPr>
        <w:t xml:space="preserve"> The risk of </w:t>
      </w:r>
      <w:r w:rsidR="003E3E31" w:rsidRPr="00A4399B">
        <w:rPr>
          <w:rFonts w:ascii="Arial" w:hAnsi="Arial" w:cs="Arial"/>
          <w:sz w:val="22"/>
          <w:szCs w:val="22"/>
        </w:rPr>
        <w:t>‘contracting’ SARS-CoV-2 is directly related to exposure</w:t>
      </w:r>
      <w:r w:rsidR="005F7318" w:rsidRPr="00A4399B">
        <w:rPr>
          <w:rFonts w:ascii="Arial" w:hAnsi="Arial" w:cs="Arial"/>
          <w:sz w:val="22"/>
          <w:szCs w:val="22"/>
        </w:rPr>
        <w:t>. Poorly ventilated indoor spaces where overcrowding, lack of social</w:t>
      </w:r>
      <w:r w:rsidR="00577D1C" w:rsidRPr="00A4399B">
        <w:rPr>
          <w:rFonts w:ascii="Arial" w:hAnsi="Arial" w:cs="Arial"/>
          <w:sz w:val="22"/>
          <w:szCs w:val="22"/>
        </w:rPr>
        <w:t xml:space="preserve"> distancing, mask adoption,</w:t>
      </w:r>
      <w:r w:rsidR="006471CE" w:rsidRPr="00A4399B">
        <w:rPr>
          <w:rFonts w:ascii="Arial" w:hAnsi="Arial" w:cs="Arial"/>
          <w:sz w:val="22"/>
          <w:szCs w:val="22"/>
        </w:rPr>
        <w:t xml:space="preserve"> and lengthy exposure</w:t>
      </w:r>
      <w:r w:rsidR="00ED71EF" w:rsidRPr="00A4399B">
        <w:rPr>
          <w:rFonts w:ascii="Arial" w:hAnsi="Arial" w:cs="Arial"/>
          <w:sz w:val="22"/>
          <w:szCs w:val="22"/>
        </w:rPr>
        <w:t xml:space="preserve"> have proven to be especially high</w:t>
      </w:r>
      <w:r w:rsidR="005B18AB" w:rsidRPr="00A4399B">
        <w:rPr>
          <w:rFonts w:ascii="Arial" w:hAnsi="Arial" w:cs="Arial"/>
          <w:sz w:val="22"/>
          <w:szCs w:val="22"/>
        </w:rPr>
        <w:t>-</w:t>
      </w:r>
      <w:r w:rsidR="00ED71EF" w:rsidRPr="00A4399B">
        <w:rPr>
          <w:rFonts w:ascii="Arial" w:hAnsi="Arial" w:cs="Arial"/>
          <w:sz w:val="22"/>
          <w:szCs w:val="22"/>
        </w:rPr>
        <w:t>risk settings.</w:t>
      </w:r>
      <w:r w:rsidR="00141EC6" w:rsidRPr="00A4399B">
        <w:rPr>
          <w:rFonts w:ascii="Arial" w:hAnsi="Arial" w:cs="Arial"/>
          <w:sz w:val="22"/>
          <w:szCs w:val="22"/>
        </w:rPr>
        <w:t xml:space="preserve"> The risk of exposure to a person is, thus a function of the environmental circumstances</w:t>
      </w:r>
      <w:r w:rsidR="007759DD" w:rsidRPr="00A4399B">
        <w:rPr>
          <w:rFonts w:ascii="Arial" w:hAnsi="Arial" w:cs="Arial"/>
          <w:sz w:val="22"/>
          <w:szCs w:val="22"/>
        </w:rPr>
        <w:t xml:space="preserve"> rather than the individual personal characteristics of that person. (</w:t>
      </w:r>
      <w:r w:rsidR="005B18AB" w:rsidRPr="00A4399B">
        <w:rPr>
          <w:rFonts w:ascii="Arial" w:hAnsi="Arial" w:cs="Arial"/>
          <w:sz w:val="22"/>
          <w:szCs w:val="22"/>
        </w:rPr>
        <w:t>4.2)</w:t>
      </w:r>
      <w:r w:rsidR="006F31E9" w:rsidRPr="00A4399B">
        <w:rPr>
          <w:rFonts w:ascii="Arial" w:hAnsi="Arial" w:cs="Arial"/>
          <w:sz w:val="22"/>
          <w:szCs w:val="22"/>
        </w:rPr>
        <w:t>.</w:t>
      </w:r>
    </w:p>
    <w:p w14:paraId="14D8E7B1" w14:textId="77777777" w:rsidR="006D1980" w:rsidRPr="00A4399B" w:rsidRDefault="006D1980" w:rsidP="00896BAD">
      <w:pPr>
        <w:spacing w:before="100" w:beforeAutospacing="1" w:after="100" w:afterAutospacing="1"/>
        <w:contextualSpacing/>
        <w:jc w:val="both"/>
        <w:rPr>
          <w:rFonts w:ascii="Arial" w:hAnsi="Arial" w:cs="Arial"/>
          <w:sz w:val="22"/>
          <w:szCs w:val="22"/>
        </w:rPr>
      </w:pPr>
    </w:p>
    <w:p w14:paraId="2566013B" w14:textId="31EAC87C" w:rsidR="006D1980" w:rsidRPr="00A4399B" w:rsidRDefault="00896BAD" w:rsidP="00E42136">
      <w:pPr>
        <w:numPr>
          <w:ilvl w:val="0"/>
          <w:numId w:val="3"/>
        </w:numPr>
        <w:tabs>
          <w:tab w:val="clear" w:pos="1004"/>
          <w:tab w:val="num" w:pos="567"/>
        </w:tabs>
        <w:spacing w:before="100" w:beforeAutospacing="1" w:after="100" w:afterAutospacing="1"/>
        <w:ind w:left="0" w:firstLine="0"/>
        <w:contextualSpacing/>
        <w:jc w:val="both"/>
        <w:rPr>
          <w:rFonts w:ascii="Arial" w:hAnsi="Arial" w:cs="Arial"/>
          <w:sz w:val="22"/>
          <w:szCs w:val="22"/>
        </w:rPr>
      </w:pPr>
      <w:r w:rsidRPr="00A4399B">
        <w:rPr>
          <w:rFonts w:ascii="Arial" w:hAnsi="Arial" w:cs="Arial"/>
          <w:sz w:val="22"/>
          <w:szCs w:val="22"/>
        </w:rPr>
        <w:t xml:space="preserve">Research that examines the service use of migrants and </w:t>
      </w:r>
      <w:r w:rsidR="005C441F" w:rsidRPr="00A4399B">
        <w:rPr>
          <w:rFonts w:ascii="Arial" w:hAnsi="Arial" w:cs="Arial"/>
          <w:sz w:val="22"/>
          <w:szCs w:val="22"/>
        </w:rPr>
        <w:t>a</w:t>
      </w:r>
      <w:r w:rsidRPr="00A4399B">
        <w:rPr>
          <w:rFonts w:ascii="Arial" w:hAnsi="Arial" w:cs="Arial"/>
          <w:sz w:val="22"/>
          <w:szCs w:val="22"/>
        </w:rPr>
        <w:t>sylu</w:t>
      </w:r>
      <w:r w:rsidR="005C441F" w:rsidRPr="00A4399B">
        <w:rPr>
          <w:rFonts w:ascii="Arial" w:hAnsi="Arial" w:cs="Arial"/>
          <w:sz w:val="22"/>
          <w:szCs w:val="22"/>
        </w:rPr>
        <w:t>m seekers (and failed asylum seekers) is limited. (</w:t>
      </w:r>
      <w:r w:rsidR="00740A83" w:rsidRPr="00A4399B">
        <w:rPr>
          <w:rFonts w:ascii="Arial" w:hAnsi="Arial" w:cs="Arial"/>
          <w:sz w:val="22"/>
          <w:szCs w:val="22"/>
        </w:rPr>
        <w:t>4.3).</w:t>
      </w:r>
    </w:p>
    <w:p w14:paraId="1DC17C5D" w14:textId="77777777" w:rsidR="006D1980" w:rsidRPr="00A4399B" w:rsidRDefault="006D1980" w:rsidP="006D1980">
      <w:pPr>
        <w:spacing w:before="100" w:beforeAutospacing="1" w:after="100" w:afterAutospacing="1"/>
        <w:contextualSpacing/>
        <w:jc w:val="both"/>
        <w:rPr>
          <w:rFonts w:ascii="Arial" w:hAnsi="Arial" w:cs="Arial"/>
          <w:sz w:val="22"/>
          <w:szCs w:val="22"/>
        </w:rPr>
      </w:pPr>
    </w:p>
    <w:p w14:paraId="204BC5B3" w14:textId="15CAC330" w:rsidR="006D1980" w:rsidRPr="00A4399B" w:rsidRDefault="00F135F9" w:rsidP="00E42136">
      <w:pPr>
        <w:numPr>
          <w:ilvl w:val="0"/>
          <w:numId w:val="3"/>
        </w:numPr>
        <w:tabs>
          <w:tab w:val="clear" w:pos="1004"/>
          <w:tab w:val="num" w:pos="567"/>
        </w:tabs>
        <w:spacing w:before="100" w:beforeAutospacing="1" w:after="100" w:afterAutospacing="1"/>
        <w:ind w:left="0" w:firstLine="0"/>
        <w:contextualSpacing/>
        <w:jc w:val="both"/>
        <w:rPr>
          <w:rFonts w:ascii="Arial" w:hAnsi="Arial" w:cs="Arial"/>
          <w:sz w:val="22"/>
          <w:szCs w:val="22"/>
        </w:rPr>
      </w:pPr>
      <w:r w:rsidRPr="00A4399B">
        <w:rPr>
          <w:rFonts w:ascii="Arial" w:hAnsi="Arial" w:cs="Arial"/>
          <w:sz w:val="22"/>
          <w:szCs w:val="22"/>
        </w:rPr>
        <w:t>The risk of suffering, after exposure and infection, from severe disease and death is a function of personal characteris</w:t>
      </w:r>
      <w:r w:rsidR="00771310" w:rsidRPr="00A4399B">
        <w:rPr>
          <w:rFonts w:ascii="Arial" w:hAnsi="Arial" w:cs="Arial"/>
          <w:sz w:val="22"/>
          <w:szCs w:val="22"/>
        </w:rPr>
        <w:t>tics primarily such as age, sex, and the presence of mor</w:t>
      </w:r>
      <w:r w:rsidR="00C33519" w:rsidRPr="00A4399B">
        <w:rPr>
          <w:rFonts w:ascii="Arial" w:hAnsi="Arial" w:cs="Arial"/>
          <w:sz w:val="22"/>
          <w:szCs w:val="22"/>
        </w:rPr>
        <w:t>b</w:t>
      </w:r>
      <w:r w:rsidR="00771310" w:rsidRPr="00A4399B">
        <w:rPr>
          <w:rFonts w:ascii="Arial" w:hAnsi="Arial" w:cs="Arial"/>
          <w:sz w:val="22"/>
          <w:szCs w:val="22"/>
        </w:rPr>
        <w:t>idities</w:t>
      </w:r>
      <w:r w:rsidR="001D3475" w:rsidRPr="00A4399B">
        <w:rPr>
          <w:rFonts w:ascii="Arial" w:hAnsi="Arial" w:cs="Arial"/>
          <w:sz w:val="22"/>
          <w:szCs w:val="22"/>
        </w:rPr>
        <w:t>. But there are intersections with</w:t>
      </w:r>
      <w:r w:rsidR="00C33519" w:rsidRPr="00A4399B">
        <w:rPr>
          <w:rFonts w:ascii="Arial" w:hAnsi="Arial" w:cs="Arial"/>
          <w:sz w:val="22"/>
          <w:szCs w:val="22"/>
        </w:rPr>
        <w:t xml:space="preserve"> the wider environment too, for example</w:t>
      </w:r>
      <w:r w:rsidR="00CB2DB4" w:rsidRPr="00A4399B">
        <w:rPr>
          <w:rFonts w:ascii="Arial" w:hAnsi="Arial" w:cs="Arial"/>
          <w:sz w:val="22"/>
          <w:szCs w:val="22"/>
        </w:rPr>
        <w:t xml:space="preserve"> with </w:t>
      </w:r>
      <w:r w:rsidR="00B131A6" w:rsidRPr="00A4399B">
        <w:rPr>
          <w:rFonts w:ascii="Arial" w:hAnsi="Arial" w:cs="Arial"/>
          <w:sz w:val="22"/>
          <w:szCs w:val="22"/>
        </w:rPr>
        <w:t>ethnicity (</w:t>
      </w:r>
      <w:r w:rsidR="00436903" w:rsidRPr="00A4399B">
        <w:rPr>
          <w:rFonts w:ascii="Arial" w:hAnsi="Arial" w:cs="Arial"/>
          <w:sz w:val="22"/>
          <w:szCs w:val="22"/>
        </w:rPr>
        <w:t>4.7).</w:t>
      </w:r>
      <w:r w:rsidR="000E775D" w:rsidRPr="00A4399B">
        <w:rPr>
          <w:rFonts w:ascii="Arial" w:hAnsi="Arial" w:cs="Arial"/>
          <w:sz w:val="22"/>
          <w:szCs w:val="22"/>
        </w:rPr>
        <w:t xml:space="preserve"> </w:t>
      </w:r>
      <w:r w:rsidR="00E53C31" w:rsidRPr="00A4399B">
        <w:rPr>
          <w:rFonts w:ascii="Arial" w:hAnsi="Arial" w:cs="Arial"/>
          <w:sz w:val="22"/>
          <w:szCs w:val="22"/>
        </w:rPr>
        <w:t>Death rates from COVID-19 were higher</w:t>
      </w:r>
      <w:r w:rsidR="00C67A4E" w:rsidRPr="00A4399B">
        <w:rPr>
          <w:rFonts w:ascii="Arial" w:hAnsi="Arial" w:cs="Arial"/>
          <w:sz w:val="22"/>
          <w:szCs w:val="22"/>
        </w:rPr>
        <w:t xml:space="preserve"> for </w:t>
      </w:r>
      <w:r w:rsidR="00F2071F" w:rsidRPr="00A4399B">
        <w:rPr>
          <w:rFonts w:ascii="Arial" w:hAnsi="Arial" w:cs="Arial"/>
          <w:sz w:val="22"/>
          <w:szCs w:val="22"/>
        </w:rPr>
        <w:t>B</w:t>
      </w:r>
      <w:r w:rsidR="00C67A4E" w:rsidRPr="00A4399B">
        <w:rPr>
          <w:rFonts w:ascii="Arial" w:hAnsi="Arial" w:cs="Arial"/>
          <w:sz w:val="22"/>
          <w:szCs w:val="22"/>
        </w:rPr>
        <w:t>lack and Asian ethnic groups when compared to</w:t>
      </w:r>
      <w:r w:rsidR="00F2071F" w:rsidRPr="00A4399B">
        <w:rPr>
          <w:rFonts w:ascii="Arial" w:hAnsi="Arial" w:cs="Arial"/>
          <w:sz w:val="22"/>
          <w:szCs w:val="22"/>
        </w:rPr>
        <w:t xml:space="preserve"> White British. (4.10).</w:t>
      </w:r>
    </w:p>
    <w:p w14:paraId="33C0A42D" w14:textId="31006755" w:rsidR="005D6E14" w:rsidRPr="00A4399B" w:rsidRDefault="005D6E14" w:rsidP="005D6E14">
      <w:pPr>
        <w:spacing w:before="100" w:beforeAutospacing="1" w:after="100" w:afterAutospacing="1"/>
        <w:contextualSpacing/>
        <w:jc w:val="both"/>
        <w:rPr>
          <w:rFonts w:ascii="Arial" w:hAnsi="Arial" w:cs="Arial"/>
          <w:sz w:val="22"/>
          <w:szCs w:val="22"/>
        </w:rPr>
      </w:pPr>
    </w:p>
    <w:p w14:paraId="1EE3C8A6" w14:textId="50BB9D31" w:rsidR="005D6E14" w:rsidRPr="00A4399B" w:rsidRDefault="000D2C9C" w:rsidP="00E42136">
      <w:pPr>
        <w:numPr>
          <w:ilvl w:val="0"/>
          <w:numId w:val="3"/>
        </w:numPr>
        <w:tabs>
          <w:tab w:val="clear" w:pos="1004"/>
        </w:tabs>
        <w:spacing w:before="100" w:beforeAutospacing="1" w:after="100" w:afterAutospacing="1"/>
        <w:ind w:left="0" w:firstLine="0"/>
        <w:contextualSpacing/>
        <w:jc w:val="both"/>
        <w:rPr>
          <w:rFonts w:ascii="Arial" w:hAnsi="Arial" w:cs="Arial"/>
          <w:sz w:val="22"/>
          <w:szCs w:val="22"/>
        </w:rPr>
      </w:pPr>
      <w:r w:rsidRPr="00A4399B">
        <w:rPr>
          <w:rFonts w:ascii="Arial" w:hAnsi="Arial" w:cs="Arial"/>
          <w:sz w:val="22"/>
          <w:szCs w:val="22"/>
        </w:rPr>
        <w:t>The risk of exposure and infection</w:t>
      </w:r>
      <w:r w:rsidR="00B258C3" w:rsidRPr="00A4399B">
        <w:rPr>
          <w:rFonts w:ascii="Arial" w:hAnsi="Arial" w:cs="Arial"/>
          <w:sz w:val="22"/>
          <w:szCs w:val="22"/>
        </w:rPr>
        <w:t xml:space="preserve"> (with reference to </w:t>
      </w:r>
      <w:r w:rsidR="00B258C3" w:rsidRPr="00A4399B">
        <w:rPr>
          <w:rFonts w:ascii="Arial" w:hAnsi="Arial" w:cs="Arial"/>
          <w:i/>
          <w:sz w:val="22"/>
          <w:szCs w:val="22"/>
        </w:rPr>
        <w:t>R</w:t>
      </w:r>
      <w:r w:rsidR="004522A0" w:rsidRPr="00A4399B">
        <w:rPr>
          <w:rFonts w:ascii="Arial" w:hAnsi="Arial" w:cs="Arial"/>
          <w:i/>
          <w:sz w:val="22"/>
          <w:szCs w:val="22"/>
        </w:rPr>
        <w:t>,</w:t>
      </w:r>
      <w:r w:rsidR="00AE48B8" w:rsidRPr="00A4399B">
        <w:rPr>
          <w:rFonts w:ascii="Arial" w:hAnsi="Arial" w:cs="Arial"/>
          <w:sz w:val="22"/>
          <w:szCs w:val="22"/>
        </w:rPr>
        <w:t xml:space="preserve"> the reproducti</w:t>
      </w:r>
      <w:r w:rsidR="004522A0" w:rsidRPr="00A4399B">
        <w:rPr>
          <w:rFonts w:ascii="Arial" w:hAnsi="Arial" w:cs="Arial"/>
          <w:sz w:val="22"/>
          <w:szCs w:val="22"/>
        </w:rPr>
        <w:t>on number)</w:t>
      </w:r>
      <w:r w:rsidR="00065457" w:rsidRPr="00A4399B">
        <w:rPr>
          <w:rFonts w:ascii="Arial" w:hAnsi="Arial" w:cs="Arial"/>
          <w:sz w:val="22"/>
          <w:szCs w:val="22"/>
        </w:rPr>
        <w:t xml:space="preserve"> is greater for those living in overcrowded shared facilities</w:t>
      </w:r>
      <w:r w:rsidR="00EB5524" w:rsidRPr="00A4399B">
        <w:rPr>
          <w:rFonts w:ascii="Arial" w:hAnsi="Arial" w:cs="Arial"/>
          <w:sz w:val="22"/>
          <w:szCs w:val="22"/>
        </w:rPr>
        <w:t xml:space="preserve"> </w:t>
      </w:r>
      <w:r w:rsidR="00764F62" w:rsidRPr="00A4399B">
        <w:rPr>
          <w:rFonts w:ascii="Arial" w:hAnsi="Arial" w:cs="Arial"/>
          <w:sz w:val="22"/>
          <w:szCs w:val="22"/>
        </w:rPr>
        <w:t>(</w:t>
      </w:r>
      <w:r w:rsidR="000668F8" w:rsidRPr="00A4399B">
        <w:rPr>
          <w:rFonts w:ascii="Arial" w:hAnsi="Arial" w:cs="Arial"/>
          <w:i/>
          <w:sz w:val="22"/>
          <w:szCs w:val="22"/>
        </w:rPr>
        <w:t>R</w:t>
      </w:r>
      <w:r w:rsidR="000668F8" w:rsidRPr="00A4399B">
        <w:rPr>
          <w:rFonts w:ascii="Arial" w:hAnsi="Arial" w:cs="Arial"/>
          <w:sz w:val="22"/>
          <w:szCs w:val="22"/>
        </w:rPr>
        <w:t xml:space="preserve">5) </w:t>
      </w:r>
      <w:r w:rsidR="00EB5524" w:rsidRPr="00A4399B">
        <w:rPr>
          <w:rFonts w:ascii="Arial" w:hAnsi="Arial" w:cs="Arial"/>
          <w:sz w:val="22"/>
          <w:szCs w:val="22"/>
        </w:rPr>
        <w:t>than for those who are street homeless</w:t>
      </w:r>
      <w:r w:rsidR="000668F8" w:rsidRPr="00A4399B">
        <w:rPr>
          <w:rFonts w:ascii="Arial" w:hAnsi="Arial" w:cs="Arial"/>
          <w:sz w:val="22"/>
          <w:szCs w:val="22"/>
        </w:rPr>
        <w:t xml:space="preserve"> (</w:t>
      </w:r>
      <w:r w:rsidR="000668F8" w:rsidRPr="00A4399B">
        <w:rPr>
          <w:rFonts w:ascii="Arial" w:hAnsi="Arial" w:cs="Arial"/>
          <w:i/>
          <w:sz w:val="22"/>
          <w:szCs w:val="22"/>
        </w:rPr>
        <w:t>R</w:t>
      </w:r>
      <w:r w:rsidR="000668F8" w:rsidRPr="00A4399B">
        <w:rPr>
          <w:rFonts w:ascii="Arial" w:hAnsi="Arial" w:cs="Arial"/>
          <w:sz w:val="22"/>
          <w:szCs w:val="22"/>
        </w:rPr>
        <w:t>2)</w:t>
      </w:r>
      <w:r w:rsidR="00EB5524" w:rsidRPr="00A4399B">
        <w:rPr>
          <w:rFonts w:ascii="Arial" w:hAnsi="Arial" w:cs="Arial"/>
          <w:sz w:val="22"/>
          <w:szCs w:val="22"/>
        </w:rPr>
        <w:t xml:space="preserve"> except when accessing</w:t>
      </w:r>
      <w:r w:rsidR="000668F8" w:rsidRPr="00A4399B">
        <w:rPr>
          <w:rFonts w:ascii="Arial" w:hAnsi="Arial" w:cs="Arial"/>
          <w:sz w:val="22"/>
          <w:szCs w:val="22"/>
        </w:rPr>
        <w:t xml:space="preserve"> </w:t>
      </w:r>
      <w:r w:rsidR="00EB5524" w:rsidRPr="00A4399B">
        <w:rPr>
          <w:rFonts w:ascii="Arial" w:hAnsi="Arial" w:cs="Arial"/>
          <w:sz w:val="22"/>
          <w:szCs w:val="22"/>
        </w:rPr>
        <w:t>services e.g. soup kitchens</w:t>
      </w:r>
      <w:r w:rsidR="004649A8" w:rsidRPr="00A4399B">
        <w:rPr>
          <w:rFonts w:ascii="Arial" w:hAnsi="Arial" w:cs="Arial"/>
          <w:sz w:val="22"/>
          <w:szCs w:val="22"/>
        </w:rPr>
        <w:t xml:space="preserve"> etc.</w:t>
      </w:r>
      <w:r w:rsidR="00394FD7" w:rsidRPr="00A4399B">
        <w:rPr>
          <w:rFonts w:ascii="Arial" w:hAnsi="Arial" w:cs="Arial"/>
          <w:sz w:val="22"/>
          <w:szCs w:val="22"/>
        </w:rPr>
        <w:t xml:space="preserve"> </w:t>
      </w:r>
      <w:r w:rsidR="004649A8" w:rsidRPr="00A4399B">
        <w:rPr>
          <w:rFonts w:ascii="Arial" w:hAnsi="Arial" w:cs="Arial"/>
          <w:sz w:val="22"/>
          <w:szCs w:val="22"/>
        </w:rPr>
        <w:t>(5.3).</w:t>
      </w:r>
      <w:r w:rsidR="000668F8" w:rsidRPr="00A4399B">
        <w:rPr>
          <w:rFonts w:ascii="Arial" w:hAnsi="Arial" w:cs="Arial"/>
          <w:sz w:val="22"/>
          <w:szCs w:val="22"/>
        </w:rPr>
        <w:t xml:space="preserve"> Risk is lower for those living in</w:t>
      </w:r>
      <w:r w:rsidR="00394FD7" w:rsidRPr="00A4399B">
        <w:rPr>
          <w:rFonts w:ascii="Arial" w:hAnsi="Arial" w:cs="Arial"/>
          <w:sz w:val="22"/>
          <w:szCs w:val="22"/>
        </w:rPr>
        <w:t xml:space="preserve"> self-contained accommodation (</w:t>
      </w:r>
      <w:r w:rsidR="00394FD7" w:rsidRPr="00A4399B">
        <w:rPr>
          <w:rFonts w:ascii="Arial" w:hAnsi="Arial" w:cs="Arial"/>
          <w:i/>
          <w:sz w:val="22"/>
          <w:szCs w:val="22"/>
        </w:rPr>
        <w:t>R</w:t>
      </w:r>
      <w:r w:rsidR="00394FD7" w:rsidRPr="00A4399B">
        <w:rPr>
          <w:rFonts w:ascii="Arial" w:hAnsi="Arial" w:cs="Arial"/>
          <w:sz w:val="22"/>
          <w:szCs w:val="22"/>
        </w:rPr>
        <w:t xml:space="preserve"> 0.5).</w:t>
      </w:r>
    </w:p>
    <w:p w14:paraId="459A8A60" w14:textId="77777777" w:rsidR="003C4E76" w:rsidRPr="00A4399B" w:rsidRDefault="003C4E76" w:rsidP="003C4E76">
      <w:pPr>
        <w:spacing w:before="100" w:beforeAutospacing="1" w:after="100" w:afterAutospacing="1"/>
        <w:contextualSpacing/>
        <w:jc w:val="both"/>
        <w:rPr>
          <w:rFonts w:ascii="Arial" w:hAnsi="Arial" w:cs="Arial"/>
          <w:sz w:val="22"/>
          <w:szCs w:val="22"/>
        </w:rPr>
      </w:pPr>
    </w:p>
    <w:p w14:paraId="3D8C04C0" w14:textId="77777777" w:rsidR="00F51D1A" w:rsidRPr="00A4399B" w:rsidRDefault="00F51D1A" w:rsidP="00A328F8">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At 7.10, Professor Coker states the following:</w:t>
      </w:r>
    </w:p>
    <w:p w14:paraId="5F422A50" w14:textId="77777777" w:rsidR="00F51D1A" w:rsidRPr="00A4399B" w:rsidRDefault="00F51D1A" w:rsidP="00F51D1A">
      <w:pPr>
        <w:tabs>
          <w:tab w:val="num" w:pos="720"/>
        </w:tabs>
        <w:ind w:left="720"/>
        <w:jc w:val="both"/>
        <w:rPr>
          <w:rFonts w:ascii="Arial" w:hAnsi="Arial" w:cs="Arial"/>
          <w:sz w:val="22"/>
          <w:szCs w:val="22"/>
        </w:rPr>
      </w:pPr>
    </w:p>
    <w:p w14:paraId="24398D81" w14:textId="3491F885" w:rsidR="001033E7" w:rsidRPr="006F2446" w:rsidRDefault="00EC3E97" w:rsidP="00474DC7">
      <w:pPr>
        <w:tabs>
          <w:tab w:val="num" w:pos="567"/>
        </w:tabs>
        <w:ind w:left="567" w:right="567"/>
        <w:jc w:val="both"/>
        <w:rPr>
          <w:rFonts w:ascii="Arial" w:eastAsia="TimesNewRoman" w:hAnsi="Arial" w:cs="Arial"/>
          <w:i/>
          <w:sz w:val="22"/>
          <w:szCs w:val="22"/>
          <w:lang w:eastAsia="en-US"/>
        </w:rPr>
      </w:pPr>
      <w:r w:rsidRPr="006F2446">
        <w:rPr>
          <w:rFonts w:ascii="Arial" w:hAnsi="Arial" w:cs="Arial"/>
          <w:i/>
          <w:sz w:val="22"/>
          <w:szCs w:val="22"/>
        </w:rPr>
        <w:t>“</w:t>
      </w:r>
      <w:r w:rsidR="00A328F8" w:rsidRPr="006F2446">
        <w:rPr>
          <w:rFonts w:ascii="Arial" w:eastAsia="TimesNewRoman" w:hAnsi="Arial" w:cs="Arial"/>
          <w:i/>
          <w:sz w:val="22"/>
          <w:szCs w:val="22"/>
          <w:lang w:eastAsia="en-US"/>
        </w:rPr>
        <w:t>Conversely, the Government would have known from the earliest days of the pandemic that congregate settings posed a substantial risk of exposure, infection and disease. Any policies that likely result in increasing the likelihood that people will congregate more, that is fail to socially distance, whether that be in detention centres, nursing homes, cruise ships, homeless shelters etc could and should have been seen to increase the risk to both individuals and the wider public health. As the pandemic unfolded through 2020, as evidence of clusters and the driving forces behind these clusters was increasingly well understood, the lessons around transmission were crystal clear. Currently, an exit from lockdown is probably some months away at a minimum, for reasons outlined above. In the interim, barriers to accommodation where social distancing is possible, as I note elsewhere in this report, will impede public health control of COVID-19 and also fly in the face of good public health practice given the epidemiological and health system challenges involved.</w:t>
      </w:r>
      <w:r w:rsidR="00874E57" w:rsidRPr="006F2446">
        <w:rPr>
          <w:rFonts w:ascii="Arial" w:eastAsia="TimesNewRoman" w:hAnsi="Arial" w:cs="Arial"/>
          <w:i/>
          <w:sz w:val="22"/>
          <w:szCs w:val="22"/>
          <w:lang w:eastAsia="en-US"/>
        </w:rPr>
        <w:t>”</w:t>
      </w:r>
      <w:r w:rsidR="00343CE1" w:rsidRPr="006F2446">
        <w:rPr>
          <w:rFonts w:ascii="Arial" w:eastAsia="TimesNewRoman" w:hAnsi="Arial" w:cs="Arial"/>
          <w:i/>
          <w:sz w:val="22"/>
          <w:szCs w:val="22"/>
          <w:lang w:eastAsia="en-US"/>
        </w:rPr>
        <w:t xml:space="preserve"> </w:t>
      </w:r>
    </w:p>
    <w:p w14:paraId="5EF7D464" w14:textId="649BE481" w:rsidR="00474DC7" w:rsidRDefault="00474DC7" w:rsidP="00474DC7">
      <w:pPr>
        <w:tabs>
          <w:tab w:val="num" w:pos="567"/>
        </w:tabs>
        <w:ind w:left="567" w:right="567"/>
        <w:jc w:val="both"/>
        <w:rPr>
          <w:rFonts w:ascii="Arial" w:eastAsia="TimesNewRoman" w:hAnsi="Arial" w:cs="Arial"/>
          <w:sz w:val="22"/>
          <w:szCs w:val="22"/>
          <w:lang w:eastAsia="en-US"/>
        </w:rPr>
      </w:pPr>
    </w:p>
    <w:p w14:paraId="4B9A2372" w14:textId="77777777" w:rsidR="00474DC7" w:rsidRDefault="00474DC7" w:rsidP="00474DC7">
      <w:pPr>
        <w:tabs>
          <w:tab w:val="num" w:pos="567"/>
        </w:tabs>
        <w:ind w:left="567" w:right="567"/>
        <w:jc w:val="both"/>
        <w:rPr>
          <w:rFonts w:ascii="Arial" w:eastAsia="TimesNewRoman" w:hAnsi="Arial" w:cs="Arial"/>
          <w:sz w:val="22"/>
          <w:szCs w:val="22"/>
          <w:lang w:eastAsia="en-US"/>
        </w:rPr>
      </w:pPr>
    </w:p>
    <w:p w14:paraId="24D2F571" w14:textId="67CBBF64" w:rsidR="002D2FE5" w:rsidRPr="00A4399B" w:rsidRDefault="002D2FE5" w:rsidP="006740DA">
      <w:pPr>
        <w:tabs>
          <w:tab w:val="num" w:pos="567"/>
          <w:tab w:val="num" w:pos="720"/>
        </w:tabs>
        <w:jc w:val="both"/>
        <w:rPr>
          <w:rFonts w:ascii="Arial Black" w:hAnsi="Arial Black" w:cs="Arial"/>
          <w:b/>
          <w:smallCaps/>
          <w:sz w:val="22"/>
          <w:szCs w:val="22"/>
        </w:rPr>
      </w:pPr>
      <w:r w:rsidRPr="00A4399B">
        <w:rPr>
          <w:rFonts w:ascii="Arial Black" w:hAnsi="Arial Black" w:cs="Arial"/>
          <w:b/>
          <w:smallCaps/>
          <w:sz w:val="22"/>
          <w:szCs w:val="22"/>
        </w:rPr>
        <w:t>The Appeal Hearing</w:t>
      </w:r>
    </w:p>
    <w:p w14:paraId="36906123" w14:textId="77777777" w:rsidR="002D2FE5" w:rsidRPr="00A4399B" w:rsidRDefault="002D2FE5" w:rsidP="002D2FE5">
      <w:pPr>
        <w:jc w:val="both"/>
        <w:rPr>
          <w:rFonts w:ascii="Arial" w:hAnsi="Arial" w:cs="Arial"/>
          <w:sz w:val="22"/>
          <w:szCs w:val="22"/>
        </w:rPr>
      </w:pPr>
    </w:p>
    <w:p w14:paraId="01346177" w14:textId="77777777" w:rsidR="00474DC7" w:rsidRDefault="0044060E" w:rsidP="003C516B">
      <w:pPr>
        <w:pStyle w:val="ListParagraph"/>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 xml:space="preserve">As stated above, the appellant did not attend </w:t>
      </w:r>
      <w:r w:rsidR="00F16D37" w:rsidRPr="00A4399B">
        <w:rPr>
          <w:rFonts w:ascii="Arial" w:hAnsi="Arial" w:cs="Arial"/>
          <w:sz w:val="22"/>
          <w:szCs w:val="22"/>
        </w:rPr>
        <w:t xml:space="preserve">the hearing </w:t>
      </w:r>
      <w:r w:rsidR="00FB0FB5">
        <w:rPr>
          <w:rFonts w:ascii="Arial" w:hAnsi="Arial" w:cs="Arial"/>
          <w:sz w:val="22"/>
          <w:szCs w:val="22"/>
        </w:rPr>
        <w:t xml:space="preserve">of </w:t>
      </w:r>
      <w:r w:rsidRPr="00A4399B">
        <w:rPr>
          <w:rFonts w:ascii="Arial" w:hAnsi="Arial" w:cs="Arial"/>
          <w:sz w:val="22"/>
          <w:szCs w:val="22"/>
        </w:rPr>
        <w:t>his appeal</w:t>
      </w:r>
      <w:r w:rsidR="00FD349C" w:rsidRPr="00A4399B">
        <w:rPr>
          <w:rFonts w:ascii="Arial" w:hAnsi="Arial" w:cs="Arial"/>
          <w:sz w:val="22"/>
          <w:szCs w:val="22"/>
        </w:rPr>
        <w:t xml:space="preserve">. I therefore proceeded to hear submissions from </w:t>
      </w:r>
      <w:r w:rsidR="00F26CA4" w:rsidRPr="00A4399B">
        <w:rPr>
          <w:rFonts w:ascii="Arial" w:hAnsi="Arial" w:cs="Arial"/>
          <w:sz w:val="22"/>
          <w:szCs w:val="22"/>
        </w:rPr>
        <w:t>Ms Idelbi and Mr Cox.</w:t>
      </w:r>
      <w:r w:rsidR="00FD349C" w:rsidRPr="00A4399B">
        <w:rPr>
          <w:rFonts w:ascii="Arial" w:hAnsi="Arial" w:cs="Arial"/>
          <w:sz w:val="22"/>
          <w:szCs w:val="22"/>
        </w:rPr>
        <w:t xml:space="preserve"> </w:t>
      </w:r>
    </w:p>
    <w:p w14:paraId="7A2C826C" w14:textId="77777777" w:rsidR="00474DC7" w:rsidRDefault="00474DC7" w:rsidP="00474DC7">
      <w:pPr>
        <w:pStyle w:val="ListParagraph"/>
        <w:tabs>
          <w:tab w:val="num" w:pos="567"/>
          <w:tab w:val="num" w:pos="1004"/>
        </w:tabs>
        <w:ind w:left="0"/>
        <w:jc w:val="both"/>
        <w:rPr>
          <w:rFonts w:ascii="Arial" w:hAnsi="Arial" w:cs="Arial"/>
          <w:sz w:val="22"/>
          <w:szCs w:val="22"/>
        </w:rPr>
      </w:pPr>
    </w:p>
    <w:p w14:paraId="05A507E6" w14:textId="518BC5B5" w:rsidR="005400E5" w:rsidRPr="003C516B" w:rsidRDefault="002D2FE5" w:rsidP="00474DC7">
      <w:pPr>
        <w:pStyle w:val="ListParagraph"/>
        <w:tabs>
          <w:tab w:val="num" w:pos="567"/>
          <w:tab w:val="num" w:pos="1004"/>
        </w:tabs>
        <w:ind w:left="0"/>
        <w:jc w:val="both"/>
        <w:rPr>
          <w:rFonts w:ascii="Arial" w:hAnsi="Arial" w:cs="Arial"/>
          <w:sz w:val="22"/>
          <w:szCs w:val="22"/>
        </w:rPr>
      </w:pPr>
      <w:r w:rsidRPr="003C516B">
        <w:rPr>
          <w:rFonts w:ascii="Arial" w:hAnsi="Arial" w:cs="Arial"/>
          <w:sz w:val="22"/>
          <w:szCs w:val="22"/>
        </w:rPr>
        <w:t xml:space="preserve"> </w:t>
      </w:r>
    </w:p>
    <w:p w14:paraId="6D59D653" w14:textId="1ABBFCDD" w:rsidR="00160952" w:rsidRPr="00A4399B" w:rsidRDefault="00160952" w:rsidP="003C516B">
      <w:pPr>
        <w:tabs>
          <w:tab w:val="num" w:pos="0"/>
          <w:tab w:val="num" w:pos="567"/>
        </w:tabs>
        <w:jc w:val="both"/>
        <w:rPr>
          <w:rFonts w:ascii="Arial Black" w:hAnsi="Arial Black" w:cs="Arial"/>
          <w:b/>
          <w:smallCaps/>
          <w:sz w:val="22"/>
          <w:szCs w:val="22"/>
        </w:rPr>
      </w:pPr>
      <w:bookmarkStart w:id="6" w:name="_Hlk70260647"/>
      <w:r w:rsidRPr="00A4399B">
        <w:rPr>
          <w:rFonts w:ascii="Arial Black" w:hAnsi="Arial Black" w:cs="Arial"/>
          <w:b/>
          <w:smallCaps/>
          <w:sz w:val="22"/>
          <w:szCs w:val="22"/>
        </w:rPr>
        <w:t>Submissions for the Appellant</w:t>
      </w:r>
    </w:p>
    <w:p w14:paraId="2A802B0F" w14:textId="77777777" w:rsidR="00160952" w:rsidRPr="00A4399B" w:rsidRDefault="00160952" w:rsidP="00160952">
      <w:pPr>
        <w:tabs>
          <w:tab w:val="num" w:pos="720"/>
        </w:tabs>
        <w:jc w:val="both"/>
        <w:rPr>
          <w:rFonts w:ascii="Arial" w:hAnsi="Arial" w:cs="Arial"/>
          <w:sz w:val="22"/>
          <w:szCs w:val="22"/>
        </w:rPr>
      </w:pPr>
    </w:p>
    <w:p w14:paraId="1200B080" w14:textId="77777777" w:rsidR="00160952" w:rsidRPr="00A4399B" w:rsidRDefault="00160952" w:rsidP="00E42136">
      <w:pPr>
        <w:numPr>
          <w:ilvl w:val="0"/>
          <w:numId w:val="3"/>
        </w:numPr>
        <w:tabs>
          <w:tab w:val="clear" w:pos="1004"/>
          <w:tab w:val="num" w:pos="0"/>
          <w:tab w:val="num" w:pos="567"/>
        </w:tabs>
        <w:autoSpaceDE w:val="0"/>
        <w:autoSpaceDN w:val="0"/>
        <w:adjustRightInd w:val="0"/>
        <w:ind w:left="0" w:firstLine="0"/>
        <w:jc w:val="both"/>
        <w:rPr>
          <w:rFonts w:ascii="Arial" w:hAnsi="Arial" w:cs="Arial"/>
          <w:sz w:val="22"/>
          <w:szCs w:val="22"/>
        </w:rPr>
      </w:pPr>
      <w:r w:rsidRPr="00A4399B">
        <w:rPr>
          <w:rFonts w:ascii="Arial" w:hAnsi="Arial" w:cs="Arial"/>
          <w:sz w:val="22"/>
          <w:szCs w:val="22"/>
        </w:rPr>
        <w:t xml:space="preserve"> On behalf of the appellant, Mr Cox submit</w:t>
      </w:r>
      <w:r>
        <w:rPr>
          <w:rFonts w:ascii="Arial" w:hAnsi="Arial" w:cs="Arial"/>
          <w:sz w:val="22"/>
          <w:szCs w:val="22"/>
        </w:rPr>
        <w:t>ted</w:t>
      </w:r>
      <w:r w:rsidRPr="00A4399B">
        <w:rPr>
          <w:rFonts w:ascii="Arial" w:hAnsi="Arial" w:cs="Arial"/>
          <w:sz w:val="22"/>
          <w:szCs w:val="22"/>
        </w:rPr>
        <w:t xml:space="preserve"> that the primary issue in this appeal is whether the threat to public health of the COVID-19 pandemic justifies the provision of accommodation under section 4(2) of the 1999 Act to persons in the appellant’s situation “</w:t>
      </w:r>
      <w:r w:rsidRPr="00A4399B">
        <w:rPr>
          <w:rFonts w:ascii="Arial" w:hAnsi="Arial" w:cs="Arial"/>
          <w:iCs/>
          <w:sz w:val="22"/>
          <w:szCs w:val="22"/>
        </w:rPr>
        <w:t>for the time being”</w:t>
      </w:r>
      <w:r w:rsidRPr="00A4399B">
        <w:rPr>
          <w:rFonts w:ascii="Arial" w:hAnsi="Arial" w:cs="Arial"/>
          <w:sz w:val="22"/>
          <w:szCs w:val="22"/>
        </w:rPr>
        <w:t>. Mr Cox submitted that it does because section 4(2) confers a power to do so, either because the condition in Regulation 3(2)(e) of the 2005 Regulations is satisfied, or because, exceptionally, that is the proper course under section 4(2) in any event. Mr Cox accept</w:t>
      </w:r>
      <w:r>
        <w:rPr>
          <w:rFonts w:ascii="Arial" w:hAnsi="Arial" w:cs="Arial"/>
          <w:sz w:val="22"/>
          <w:szCs w:val="22"/>
        </w:rPr>
        <w:t>ed</w:t>
      </w:r>
      <w:r w:rsidRPr="00A4399B">
        <w:rPr>
          <w:rFonts w:ascii="Arial" w:hAnsi="Arial" w:cs="Arial"/>
          <w:sz w:val="22"/>
          <w:szCs w:val="22"/>
        </w:rPr>
        <w:t xml:space="preserve"> that this outcome is unlikely to be permanent because the Government’s vaccination programme may, “</w:t>
      </w:r>
      <w:r w:rsidRPr="00A4399B">
        <w:rPr>
          <w:rFonts w:ascii="Arial" w:hAnsi="Arial" w:cs="Arial"/>
          <w:iCs/>
          <w:sz w:val="22"/>
          <w:szCs w:val="22"/>
        </w:rPr>
        <w:t>if successfully concluded”</w:t>
      </w:r>
      <w:r w:rsidRPr="00A4399B">
        <w:rPr>
          <w:rFonts w:ascii="Arial" w:hAnsi="Arial" w:cs="Arial"/>
          <w:sz w:val="22"/>
          <w:szCs w:val="22"/>
        </w:rPr>
        <w:t>, reduce the risk of infection and consequent illness so that there is no longer a public health interest. He submit</w:t>
      </w:r>
      <w:r>
        <w:rPr>
          <w:rFonts w:ascii="Arial" w:hAnsi="Arial" w:cs="Arial"/>
          <w:sz w:val="22"/>
          <w:szCs w:val="22"/>
        </w:rPr>
        <w:t>ted</w:t>
      </w:r>
      <w:r w:rsidRPr="00A4399B">
        <w:rPr>
          <w:rFonts w:ascii="Arial" w:hAnsi="Arial" w:cs="Arial"/>
          <w:sz w:val="22"/>
          <w:szCs w:val="22"/>
        </w:rPr>
        <w:t xml:space="preserve"> that, on the current available evidence, it is not yet safe enough for destitute failed asylum-seekers to be refused accommodation.</w:t>
      </w:r>
    </w:p>
    <w:p w14:paraId="3F7FCE01" w14:textId="77777777" w:rsidR="00160952" w:rsidRPr="00A4399B" w:rsidRDefault="00160952" w:rsidP="00160952">
      <w:pPr>
        <w:pStyle w:val="ListParagraph"/>
        <w:autoSpaceDE w:val="0"/>
        <w:autoSpaceDN w:val="0"/>
        <w:adjustRightInd w:val="0"/>
        <w:ind w:left="0"/>
        <w:jc w:val="both"/>
        <w:rPr>
          <w:rFonts w:ascii="Arial" w:hAnsi="Arial" w:cs="Arial"/>
          <w:sz w:val="22"/>
          <w:szCs w:val="22"/>
        </w:rPr>
      </w:pPr>
    </w:p>
    <w:p w14:paraId="250EDC59" w14:textId="77777777" w:rsidR="00160952" w:rsidRPr="00A4399B" w:rsidRDefault="00160952" w:rsidP="009F7DDF">
      <w:pPr>
        <w:pStyle w:val="ListParagraph"/>
        <w:numPr>
          <w:ilvl w:val="0"/>
          <w:numId w:val="3"/>
        </w:numPr>
        <w:tabs>
          <w:tab w:val="num" w:pos="567"/>
        </w:tabs>
        <w:ind w:hanging="1004"/>
        <w:jc w:val="both"/>
        <w:rPr>
          <w:rFonts w:ascii="Arial" w:hAnsi="Arial" w:cs="Arial"/>
          <w:smallCaps/>
          <w:sz w:val="22"/>
          <w:szCs w:val="22"/>
        </w:rPr>
      </w:pPr>
      <w:r w:rsidRPr="00A4399B">
        <w:rPr>
          <w:rFonts w:ascii="Arial" w:hAnsi="Arial" w:cs="Arial"/>
          <w:sz w:val="22"/>
          <w:szCs w:val="22"/>
        </w:rPr>
        <w:t xml:space="preserve">Mr Cox </w:t>
      </w:r>
      <w:r>
        <w:rPr>
          <w:rFonts w:ascii="Arial" w:hAnsi="Arial" w:cs="Arial"/>
          <w:sz w:val="22"/>
          <w:szCs w:val="22"/>
        </w:rPr>
        <w:t>identified</w:t>
      </w:r>
      <w:r w:rsidRPr="00A4399B">
        <w:rPr>
          <w:rFonts w:ascii="Arial" w:hAnsi="Arial" w:cs="Arial"/>
          <w:sz w:val="22"/>
          <w:szCs w:val="22"/>
        </w:rPr>
        <w:t xml:space="preserve"> four issues for determination in this appeal, namely: </w:t>
      </w:r>
    </w:p>
    <w:p w14:paraId="46280FF5" w14:textId="77777777" w:rsidR="00160952" w:rsidRPr="00A4399B" w:rsidRDefault="00160952" w:rsidP="00160952">
      <w:pPr>
        <w:pStyle w:val="ListParagraph"/>
        <w:tabs>
          <w:tab w:val="num" w:pos="567"/>
        </w:tabs>
        <w:jc w:val="both"/>
        <w:rPr>
          <w:rFonts w:ascii="Arial" w:hAnsi="Arial" w:cs="Arial"/>
          <w:smallCaps/>
          <w:sz w:val="22"/>
          <w:szCs w:val="22"/>
        </w:rPr>
      </w:pPr>
    </w:p>
    <w:p w14:paraId="09F90ABD" w14:textId="0F25616C" w:rsidR="00160952" w:rsidRPr="00A4399B" w:rsidRDefault="00160952" w:rsidP="00160952">
      <w:pPr>
        <w:pStyle w:val="ListParagraph"/>
        <w:tabs>
          <w:tab w:val="left" w:pos="1134"/>
        </w:tabs>
        <w:autoSpaceDE w:val="0"/>
        <w:autoSpaceDN w:val="0"/>
        <w:adjustRightInd w:val="0"/>
        <w:ind w:left="1134" w:hanging="425"/>
        <w:jc w:val="both"/>
        <w:rPr>
          <w:rFonts w:ascii="Arial" w:hAnsi="Arial" w:cs="Arial"/>
          <w:sz w:val="22"/>
          <w:szCs w:val="22"/>
        </w:rPr>
      </w:pPr>
      <w:r w:rsidRPr="00A4399B">
        <w:rPr>
          <w:rFonts w:ascii="Arial" w:hAnsi="Arial" w:cs="Arial"/>
          <w:sz w:val="22"/>
          <w:szCs w:val="22"/>
        </w:rPr>
        <w:t xml:space="preserve">a) </w:t>
      </w:r>
      <w:r w:rsidRPr="00A4399B">
        <w:rPr>
          <w:rFonts w:ascii="Arial" w:hAnsi="Arial" w:cs="Arial"/>
          <w:sz w:val="22"/>
          <w:szCs w:val="22"/>
        </w:rPr>
        <w:tab/>
        <w:t xml:space="preserve">Does </w:t>
      </w:r>
      <w:r w:rsidR="00B04447">
        <w:rPr>
          <w:rFonts w:ascii="Arial" w:hAnsi="Arial" w:cs="Arial"/>
          <w:sz w:val="22"/>
          <w:szCs w:val="22"/>
        </w:rPr>
        <w:t>r</w:t>
      </w:r>
      <w:r w:rsidRPr="00A4399B">
        <w:rPr>
          <w:rFonts w:ascii="Arial" w:hAnsi="Arial" w:cs="Arial"/>
          <w:sz w:val="22"/>
          <w:szCs w:val="22"/>
        </w:rPr>
        <w:t xml:space="preserve">egulation 3 prohibit the exercise of the section 4(2) power for a person in respect of whom the conditions stated in </w:t>
      </w:r>
      <w:r w:rsidR="00B04447">
        <w:rPr>
          <w:rFonts w:ascii="Arial" w:hAnsi="Arial" w:cs="Arial"/>
          <w:sz w:val="22"/>
          <w:szCs w:val="22"/>
        </w:rPr>
        <w:t>r</w:t>
      </w:r>
      <w:r w:rsidRPr="00A4399B">
        <w:rPr>
          <w:rFonts w:ascii="Arial" w:hAnsi="Arial" w:cs="Arial"/>
          <w:sz w:val="22"/>
          <w:szCs w:val="22"/>
        </w:rPr>
        <w:t>egulation. 3(2) are not satisfied? (</w:t>
      </w:r>
      <w:r w:rsidRPr="00A4399B">
        <w:rPr>
          <w:rFonts w:ascii="Arial" w:hAnsi="Arial" w:cs="Arial"/>
          <w:b/>
          <w:sz w:val="22"/>
          <w:szCs w:val="22"/>
        </w:rPr>
        <w:t>Scope of s</w:t>
      </w:r>
      <w:r w:rsidR="00B04447">
        <w:rPr>
          <w:rFonts w:ascii="Arial" w:hAnsi="Arial" w:cs="Arial"/>
          <w:b/>
          <w:sz w:val="22"/>
          <w:szCs w:val="22"/>
        </w:rPr>
        <w:t>ection</w:t>
      </w:r>
      <w:r w:rsidRPr="00A4399B">
        <w:rPr>
          <w:rFonts w:ascii="Arial" w:hAnsi="Arial" w:cs="Arial"/>
          <w:b/>
          <w:sz w:val="22"/>
          <w:szCs w:val="22"/>
        </w:rPr>
        <w:t xml:space="preserve"> 4(2)</w:t>
      </w:r>
      <w:r w:rsidRPr="00A4399B">
        <w:rPr>
          <w:rFonts w:ascii="Arial" w:hAnsi="Arial" w:cs="Arial"/>
          <w:sz w:val="22"/>
          <w:szCs w:val="22"/>
        </w:rPr>
        <w:t>).</w:t>
      </w:r>
    </w:p>
    <w:p w14:paraId="321DBB3E" w14:textId="743575CC" w:rsidR="00160952" w:rsidRPr="00A4399B" w:rsidRDefault="00160952" w:rsidP="00160952">
      <w:pPr>
        <w:tabs>
          <w:tab w:val="left" w:pos="1134"/>
        </w:tabs>
        <w:autoSpaceDE w:val="0"/>
        <w:autoSpaceDN w:val="0"/>
        <w:adjustRightInd w:val="0"/>
        <w:ind w:left="1134" w:hanging="425"/>
        <w:jc w:val="both"/>
        <w:rPr>
          <w:rFonts w:ascii="Arial" w:hAnsi="Arial" w:cs="Arial"/>
          <w:sz w:val="22"/>
          <w:szCs w:val="22"/>
        </w:rPr>
      </w:pPr>
      <w:r w:rsidRPr="00A4399B">
        <w:rPr>
          <w:rFonts w:ascii="Arial" w:hAnsi="Arial" w:cs="Arial"/>
          <w:sz w:val="22"/>
          <w:szCs w:val="22"/>
        </w:rPr>
        <w:t xml:space="preserve">b) </w:t>
      </w:r>
      <w:r w:rsidRPr="00A4399B">
        <w:rPr>
          <w:rFonts w:ascii="Arial" w:hAnsi="Arial" w:cs="Arial"/>
          <w:sz w:val="22"/>
          <w:szCs w:val="22"/>
        </w:rPr>
        <w:tab/>
        <w:t xml:space="preserve">Can </w:t>
      </w:r>
      <w:r w:rsidR="00B04447">
        <w:rPr>
          <w:rFonts w:ascii="Arial" w:hAnsi="Arial" w:cs="Arial"/>
          <w:sz w:val="22"/>
          <w:szCs w:val="22"/>
        </w:rPr>
        <w:t>r</w:t>
      </w:r>
      <w:r w:rsidRPr="00A4399B">
        <w:rPr>
          <w:rFonts w:ascii="Arial" w:hAnsi="Arial" w:cs="Arial"/>
          <w:sz w:val="22"/>
          <w:szCs w:val="22"/>
        </w:rPr>
        <w:t>egulation 3(2)(e) be satisfied in respect of an individual destitute failed asylum seeker because the threat to public health means that denial of section 4 accommodation to that individual would breach his human rights or those of the general public? (</w:t>
      </w:r>
      <w:bookmarkStart w:id="7" w:name="_Hlk70377798"/>
      <w:r w:rsidRPr="00A4399B">
        <w:rPr>
          <w:rFonts w:ascii="Arial" w:hAnsi="Arial" w:cs="Arial"/>
          <w:b/>
          <w:sz w:val="22"/>
          <w:szCs w:val="22"/>
        </w:rPr>
        <w:t xml:space="preserve">Scope of </w:t>
      </w:r>
      <w:r w:rsidR="00B04447">
        <w:rPr>
          <w:rFonts w:ascii="Arial" w:hAnsi="Arial" w:cs="Arial"/>
          <w:b/>
          <w:sz w:val="22"/>
          <w:szCs w:val="22"/>
        </w:rPr>
        <w:t>r</w:t>
      </w:r>
      <w:r w:rsidRPr="00A4399B">
        <w:rPr>
          <w:rFonts w:ascii="Arial" w:hAnsi="Arial" w:cs="Arial"/>
          <w:b/>
          <w:sz w:val="22"/>
          <w:szCs w:val="22"/>
        </w:rPr>
        <w:t>eg</w:t>
      </w:r>
      <w:r w:rsidR="00B04447">
        <w:rPr>
          <w:rFonts w:ascii="Arial" w:hAnsi="Arial" w:cs="Arial"/>
          <w:b/>
          <w:sz w:val="22"/>
          <w:szCs w:val="22"/>
        </w:rPr>
        <w:t>ulation</w:t>
      </w:r>
      <w:r w:rsidRPr="00A4399B">
        <w:rPr>
          <w:rFonts w:ascii="Arial" w:hAnsi="Arial" w:cs="Arial"/>
          <w:b/>
          <w:sz w:val="22"/>
          <w:szCs w:val="22"/>
        </w:rPr>
        <w:t xml:space="preserve"> 3(2)(e)</w:t>
      </w:r>
      <w:bookmarkEnd w:id="7"/>
      <w:r w:rsidRPr="00A4399B">
        <w:rPr>
          <w:rFonts w:ascii="Arial" w:hAnsi="Arial" w:cs="Arial"/>
          <w:sz w:val="22"/>
          <w:szCs w:val="22"/>
        </w:rPr>
        <w:t>).</w:t>
      </w:r>
    </w:p>
    <w:p w14:paraId="39A51769" w14:textId="77777777" w:rsidR="00160952" w:rsidRPr="00A4399B" w:rsidRDefault="00160952" w:rsidP="00160952">
      <w:pPr>
        <w:pStyle w:val="ListParagraph"/>
        <w:tabs>
          <w:tab w:val="left" w:pos="1134"/>
        </w:tabs>
        <w:autoSpaceDE w:val="0"/>
        <w:autoSpaceDN w:val="0"/>
        <w:adjustRightInd w:val="0"/>
        <w:ind w:left="1134" w:hanging="425"/>
        <w:jc w:val="both"/>
        <w:rPr>
          <w:rFonts w:ascii="Arial" w:hAnsi="Arial" w:cs="Arial"/>
          <w:sz w:val="22"/>
          <w:szCs w:val="22"/>
        </w:rPr>
      </w:pPr>
      <w:r w:rsidRPr="00A4399B">
        <w:rPr>
          <w:rFonts w:ascii="Arial" w:hAnsi="Arial" w:cs="Arial"/>
          <w:sz w:val="22"/>
          <w:szCs w:val="22"/>
        </w:rPr>
        <w:t xml:space="preserve">c) </w:t>
      </w:r>
      <w:r w:rsidRPr="00A4399B">
        <w:rPr>
          <w:rFonts w:ascii="Arial" w:hAnsi="Arial" w:cs="Arial"/>
          <w:sz w:val="22"/>
          <w:szCs w:val="22"/>
        </w:rPr>
        <w:tab/>
        <w:t>Should the Tribunal consider only the public health effects of refusing accommodation to one appellant? (</w:t>
      </w:r>
      <w:r w:rsidRPr="00A4399B">
        <w:rPr>
          <w:rFonts w:ascii="Arial" w:hAnsi="Arial" w:cs="Arial"/>
          <w:b/>
          <w:sz w:val="22"/>
          <w:szCs w:val="22"/>
        </w:rPr>
        <w:t>The appellant in Isolation issue</w:t>
      </w:r>
      <w:r w:rsidRPr="00A4399B">
        <w:rPr>
          <w:rFonts w:ascii="Arial" w:hAnsi="Arial" w:cs="Arial"/>
          <w:sz w:val="22"/>
          <w:szCs w:val="22"/>
        </w:rPr>
        <w:t>).</w:t>
      </w:r>
    </w:p>
    <w:p w14:paraId="0D7FE17A" w14:textId="153D7427" w:rsidR="00160952" w:rsidRDefault="00160952" w:rsidP="00160952">
      <w:pPr>
        <w:pStyle w:val="ListParagraph"/>
        <w:tabs>
          <w:tab w:val="left" w:pos="1134"/>
        </w:tabs>
        <w:autoSpaceDE w:val="0"/>
        <w:autoSpaceDN w:val="0"/>
        <w:adjustRightInd w:val="0"/>
        <w:ind w:left="1134" w:hanging="425"/>
        <w:jc w:val="both"/>
        <w:rPr>
          <w:rFonts w:ascii="Arial" w:hAnsi="Arial" w:cs="Arial"/>
          <w:sz w:val="22"/>
          <w:szCs w:val="22"/>
        </w:rPr>
      </w:pPr>
      <w:r w:rsidRPr="00A4399B">
        <w:rPr>
          <w:rFonts w:ascii="Arial" w:hAnsi="Arial" w:cs="Arial"/>
          <w:sz w:val="22"/>
          <w:szCs w:val="22"/>
        </w:rPr>
        <w:t xml:space="preserve">d) </w:t>
      </w:r>
      <w:r w:rsidRPr="00A4399B">
        <w:rPr>
          <w:rFonts w:ascii="Arial" w:hAnsi="Arial" w:cs="Arial"/>
          <w:sz w:val="22"/>
          <w:szCs w:val="22"/>
        </w:rPr>
        <w:tab/>
        <w:t>Does the current threat to public health mean that section 4 accommodation should be provided to the appellant? (</w:t>
      </w:r>
      <w:bookmarkStart w:id="8" w:name="_Hlk70377861"/>
      <w:r w:rsidRPr="00A4399B">
        <w:rPr>
          <w:rFonts w:ascii="Arial" w:hAnsi="Arial" w:cs="Arial"/>
          <w:b/>
          <w:sz w:val="22"/>
          <w:szCs w:val="22"/>
        </w:rPr>
        <w:t>section 4 accommodation on public health grounds</w:t>
      </w:r>
      <w:bookmarkEnd w:id="8"/>
      <w:r w:rsidRPr="00A4399B">
        <w:rPr>
          <w:rFonts w:ascii="Arial" w:hAnsi="Arial" w:cs="Arial"/>
          <w:sz w:val="22"/>
          <w:szCs w:val="22"/>
        </w:rPr>
        <w:t>).</w:t>
      </w:r>
    </w:p>
    <w:p w14:paraId="719DB6FC" w14:textId="4A81D1F0" w:rsidR="00BA6DE7" w:rsidRDefault="00BA6DE7" w:rsidP="00160952">
      <w:pPr>
        <w:pStyle w:val="ListParagraph"/>
        <w:tabs>
          <w:tab w:val="left" w:pos="1134"/>
        </w:tabs>
        <w:autoSpaceDE w:val="0"/>
        <w:autoSpaceDN w:val="0"/>
        <w:adjustRightInd w:val="0"/>
        <w:ind w:left="1134" w:hanging="425"/>
        <w:jc w:val="both"/>
        <w:rPr>
          <w:rFonts w:ascii="Arial" w:hAnsi="Arial" w:cs="Arial"/>
          <w:sz w:val="22"/>
          <w:szCs w:val="22"/>
        </w:rPr>
      </w:pPr>
    </w:p>
    <w:p w14:paraId="715FCFB5" w14:textId="77777777" w:rsidR="00BA6DE7" w:rsidRPr="00A4399B" w:rsidRDefault="00BA6DE7" w:rsidP="00160952">
      <w:pPr>
        <w:pStyle w:val="ListParagraph"/>
        <w:tabs>
          <w:tab w:val="left" w:pos="1134"/>
        </w:tabs>
        <w:autoSpaceDE w:val="0"/>
        <w:autoSpaceDN w:val="0"/>
        <w:adjustRightInd w:val="0"/>
        <w:ind w:left="1134" w:hanging="425"/>
        <w:jc w:val="both"/>
        <w:rPr>
          <w:rFonts w:ascii="Arial" w:hAnsi="Arial" w:cs="Arial"/>
          <w:sz w:val="22"/>
          <w:szCs w:val="22"/>
        </w:rPr>
      </w:pPr>
    </w:p>
    <w:p w14:paraId="4A00E490" w14:textId="71C73E9F" w:rsidR="001B7CFD" w:rsidRPr="00A4399B" w:rsidRDefault="008605BC" w:rsidP="001B7CFD">
      <w:pPr>
        <w:tabs>
          <w:tab w:val="num" w:pos="0"/>
          <w:tab w:val="num" w:pos="567"/>
        </w:tabs>
        <w:jc w:val="both"/>
        <w:rPr>
          <w:rFonts w:ascii="Arial Black" w:hAnsi="Arial Black" w:cs="Arial"/>
          <w:smallCaps/>
          <w:sz w:val="22"/>
          <w:szCs w:val="22"/>
        </w:rPr>
      </w:pPr>
      <w:r w:rsidRPr="00A4399B">
        <w:rPr>
          <w:rFonts w:ascii="Arial Black" w:hAnsi="Arial Black" w:cs="Arial"/>
          <w:smallCaps/>
          <w:sz w:val="22"/>
          <w:szCs w:val="22"/>
        </w:rPr>
        <w:t>S</w:t>
      </w:r>
      <w:r w:rsidR="001B7CFD" w:rsidRPr="00A4399B">
        <w:rPr>
          <w:rFonts w:ascii="Arial Black" w:hAnsi="Arial Black" w:cs="Arial"/>
          <w:smallCaps/>
          <w:sz w:val="22"/>
          <w:szCs w:val="22"/>
        </w:rPr>
        <w:t xml:space="preserve">ubmissions for the </w:t>
      </w:r>
      <w:r w:rsidRPr="00A4399B">
        <w:rPr>
          <w:rFonts w:ascii="Arial Black" w:hAnsi="Arial Black" w:cs="Arial"/>
          <w:smallCaps/>
          <w:sz w:val="22"/>
          <w:szCs w:val="22"/>
        </w:rPr>
        <w:t>R</w:t>
      </w:r>
      <w:r w:rsidR="001B7CFD" w:rsidRPr="00A4399B">
        <w:rPr>
          <w:rFonts w:ascii="Arial Black" w:hAnsi="Arial Black" w:cs="Arial"/>
          <w:smallCaps/>
          <w:sz w:val="22"/>
          <w:szCs w:val="22"/>
        </w:rPr>
        <w:t>espondent</w:t>
      </w:r>
    </w:p>
    <w:bookmarkEnd w:id="6"/>
    <w:p w14:paraId="7CA0A229" w14:textId="3979F761" w:rsidR="005400E5" w:rsidRPr="00A4399B" w:rsidRDefault="005400E5" w:rsidP="005400E5">
      <w:pPr>
        <w:tabs>
          <w:tab w:val="num" w:pos="720"/>
        </w:tabs>
        <w:jc w:val="both"/>
        <w:rPr>
          <w:rFonts w:ascii="Arial" w:hAnsi="Arial" w:cs="Arial"/>
          <w:sz w:val="22"/>
          <w:szCs w:val="22"/>
        </w:rPr>
      </w:pPr>
    </w:p>
    <w:p w14:paraId="64E29D75" w14:textId="0A891BD7" w:rsidR="00DD6DE0" w:rsidRPr="00A4399B" w:rsidRDefault="009E2554" w:rsidP="00DD6DE0">
      <w:pPr>
        <w:pStyle w:val="ListParagraph"/>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The follow</w:t>
      </w:r>
      <w:r w:rsidR="00266782" w:rsidRPr="00A4399B">
        <w:rPr>
          <w:rFonts w:ascii="Arial" w:hAnsi="Arial" w:cs="Arial"/>
          <w:sz w:val="22"/>
          <w:szCs w:val="22"/>
        </w:rPr>
        <w:t>ing</w:t>
      </w:r>
      <w:r w:rsidRPr="00A4399B">
        <w:rPr>
          <w:rFonts w:ascii="Arial" w:hAnsi="Arial" w:cs="Arial"/>
          <w:sz w:val="22"/>
          <w:szCs w:val="22"/>
        </w:rPr>
        <w:t xml:space="preserve"> comprise</w:t>
      </w:r>
      <w:r w:rsidR="00266782" w:rsidRPr="00A4399B">
        <w:rPr>
          <w:rFonts w:ascii="Arial" w:hAnsi="Arial" w:cs="Arial"/>
          <w:sz w:val="22"/>
          <w:szCs w:val="22"/>
        </w:rPr>
        <w:t>s</w:t>
      </w:r>
      <w:r w:rsidRPr="00A4399B">
        <w:rPr>
          <w:rFonts w:ascii="Arial" w:hAnsi="Arial" w:cs="Arial"/>
          <w:sz w:val="22"/>
          <w:szCs w:val="22"/>
        </w:rPr>
        <w:t xml:space="preserve"> a summary of </w:t>
      </w:r>
      <w:r w:rsidR="00DD6DE0" w:rsidRPr="00A4399B">
        <w:rPr>
          <w:rFonts w:ascii="Arial" w:hAnsi="Arial" w:cs="Arial"/>
          <w:sz w:val="22"/>
          <w:szCs w:val="22"/>
        </w:rPr>
        <w:t>Ms Idelbi’s primary submissions</w:t>
      </w:r>
      <w:r w:rsidRPr="00A4399B">
        <w:rPr>
          <w:rFonts w:ascii="Arial" w:hAnsi="Arial" w:cs="Arial"/>
          <w:sz w:val="22"/>
          <w:szCs w:val="22"/>
        </w:rPr>
        <w:t>:</w:t>
      </w:r>
    </w:p>
    <w:p w14:paraId="64BF7DA0" w14:textId="77777777" w:rsidR="00DD6DE0" w:rsidRPr="00F01794" w:rsidRDefault="00DD6DE0" w:rsidP="00DD6DE0">
      <w:pPr>
        <w:pStyle w:val="ListParagraph"/>
        <w:tabs>
          <w:tab w:val="num" w:pos="567"/>
        </w:tabs>
        <w:ind w:left="0"/>
        <w:jc w:val="both"/>
        <w:rPr>
          <w:rFonts w:ascii="Arial" w:hAnsi="Arial" w:cs="Arial"/>
          <w:sz w:val="22"/>
          <w:szCs w:val="22"/>
        </w:rPr>
      </w:pPr>
    </w:p>
    <w:p w14:paraId="21434116" w14:textId="77777777" w:rsidR="00DD6DE0" w:rsidRPr="00F01794" w:rsidRDefault="00DD6DE0" w:rsidP="00DD6DE0">
      <w:pPr>
        <w:pStyle w:val="ListParagraph"/>
        <w:tabs>
          <w:tab w:val="num" w:pos="567"/>
        </w:tabs>
        <w:ind w:left="1134" w:hanging="425"/>
        <w:jc w:val="both"/>
        <w:rPr>
          <w:rFonts w:ascii="Arial" w:hAnsi="Arial" w:cs="Arial"/>
          <w:sz w:val="22"/>
          <w:szCs w:val="22"/>
        </w:rPr>
      </w:pPr>
      <w:r w:rsidRPr="00F01794">
        <w:rPr>
          <w:rFonts w:ascii="Arial" w:hAnsi="Arial" w:cs="Arial"/>
          <w:sz w:val="22"/>
          <w:szCs w:val="22"/>
        </w:rPr>
        <w:t xml:space="preserve">a) </w:t>
      </w:r>
      <w:r w:rsidRPr="00F01794">
        <w:rPr>
          <w:rFonts w:ascii="Arial" w:hAnsi="Arial" w:cs="Arial"/>
          <w:sz w:val="22"/>
          <w:szCs w:val="22"/>
        </w:rPr>
        <w:tab/>
        <w:t xml:space="preserve">the analysis in </w:t>
      </w:r>
      <w:r w:rsidRPr="00F01794">
        <w:rPr>
          <w:rFonts w:ascii="Arial" w:hAnsi="Arial" w:cs="Arial"/>
          <w:i/>
          <w:sz w:val="22"/>
          <w:szCs w:val="22"/>
        </w:rPr>
        <w:t>PA and MA</w:t>
      </w:r>
      <w:r w:rsidRPr="00F01794">
        <w:rPr>
          <w:rFonts w:ascii="Arial" w:hAnsi="Arial" w:cs="Arial"/>
          <w:sz w:val="22"/>
          <w:szCs w:val="22"/>
        </w:rPr>
        <w:t xml:space="preserve"> is incorrect. The correct test to be applied when determining potential breaches of Articles 2, 3 and 8 ECHR rights arising out of the acts of a third party is set out [at paragraph 116] in </w:t>
      </w:r>
      <w:r w:rsidRPr="00F01794">
        <w:rPr>
          <w:rFonts w:ascii="Arial" w:hAnsi="Arial" w:cs="Arial"/>
          <w:i/>
          <w:sz w:val="22"/>
          <w:szCs w:val="22"/>
        </w:rPr>
        <w:t>Osman v UK</w:t>
      </w:r>
      <w:r w:rsidRPr="00F01794">
        <w:rPr>
          <w:rFonts w:ascii="Arial" w:hAnsi="Arial" w:cs="Arial"/>
          <w:sz w:val="22"/>
          <w:szCs w:val="22"/>
        </w:rPr>
        <w:t xml:space="preserve"> [1998] 29 EHRR 245;</w:t>
      </w:r>
    </w:p>
    <w:p w14:paraId="2C24BA4A" w14:textId="7ABD16C3" w:rsidR="00DD6DE0" w:rsidRPr="00F01794" w:rsidRDefault="00DD6DE0" w:rsidP="00DD6DE0">
      <w:pPr>
        <w:pStyle w:val="Default"/>
        <w:tabs>
          <w:tab w:val="num" w:pos="720"/>
          <w:tab w:val="left" w:pos="1134"/>
          <w:tab w:val="left" w:pos="7938"/>
        </w:tabs>
        <w:ind w:left="1134" w:hanging="414"/>
        <w:jc w:val="both"/>
        <w:rPr>
          <w:rFonts w:ascii="Arial" w:hAnsi="Arial" w:cs="Arial"/>
          <w:color w:val="auto"/>
          <w:sz w:val="22"/>
          <w:szCs w:val="22"/>
        </w:rPr>
      </w:pPr>
      <w:r w:rsidRPr="00F01794">
        <w:rPr>
          <w:rFonts w:ascii="Arial" w:hAnsi="Arial" w:cs="Arial"/>
          <w:color w:val="auto"/>
          <w:sz w:val="22"/>
          <w:szCs w:val="22"/>
        </w:rPr>
        <w:t>b)</w:t>
      </w:r>
      <w:r w:rsidRPr="00F01794">
        <w:rPr>
          <w:rFonts w:ascii="Arial" w:hAnsi="Arial" w:cs="Arial"/>
          <w:color w:val="auto"/>
          <w:sz w:val="22"/>
          <w:szCs w:val="22"/>
        </w:rPr>
        <w:tab/>
      </w:r>
      <w:r w:rsidRPr="00F01794">
        <w:rPr>
          <w:rFonts w:ascii="Arial" w:hAnsi="Arial" w:cs="Arial"/>
          <w:i/>
          <w:iCs/>
          <w:color w:val="auto"/>
          <w:sz w:val="22"/>
          <w:szCs w:val="22"/>
        </w:rPr>
        <w:t xml:space="preserve">PA and MA </w:t>
      </w:r>
      <w:r w:rsidRPr="00F01794">
        <w:rPr>
          <w:rFonts w:ascii="Arial" w:hAnsi="Arial" w:cs="Arial"/>
          <w:color w:val="auto"/>
          <w:sz w:val="22"/>
          <w:szCs w:val="22"/>
        </w:rPr>
        <w:t>taken at its highest requires an analysis of the risks and impact on the wider community’s rights under Article 2, 3 or 8 considering the evidence available concerning the situation in existence at the time of the appeal, as to the level of risk of harm to the wider community arising from the individual decision under appeal;</w:t>
      </w:r>
    </w:p>
    <w:p w14:paraId="180B85CC" w14:textId="77777777" w:rsidR="00DD6DE0" w:rsidRPr="00F01794" w:rsidRDefault="00DD6DE0" w:rsidP="00DD6DE0">
      <w:pPr>
        <w:tabs>
          <w:tab w:val="num" w:pos="709"/>
        </w:tabs>
        <w:ind w:left="1134" w:hanging="1134"/>
        <w:jc w:val="both"/>
        <w:rPr>
          <w:rFonts w:ascii="Arial" w:hAnsi="Arial" w:cs="Arial"/>
          <w:sz w:val="22"/>
          <w:szCs w:val="22"/>
        </w:rPr>
      </w:pPr>
      <w:r w:rsidRPr="00F01794">
        <w:rPr>
          <w:rFonts w:ascii="Arial" w:hAnsi="Arial" w:cs="Arial"/>
          <w:sz w:val="22"/>
          <w:szCs w:val="22"/>
        </w:rPr>
        <w:tab/>
        <w:t xml:space="preserve">c) </w:t>
      </w:r>
      <w:r w:rsidRPr="00F01794">
        <w:rPr>
          <w:rFonts w:ascii="Arial" w:hAnsi="Arial" w:cs="Arial"/>
          <w:sz w:val="22"/>
          <w:szCs w:val="22"/>
        </w:rPr>
        <w:tab/>
        <w:t xml:space="preserve">the test to establish a breach of Articles 2 or 3 is a “stringent one which will not easily be satisfied”- </w:t>
      </w:r>
      <w:r w:rsidRPr="00F01794">
        <w:rPr>
          <w:rFonts w:ascii="Arial" w:hAnsi="Arial" w:cs="Arial"/>
          <w:i/>
          <w:sz w:val="22"/>
          <w:szCs w:val="22"/>
        </w:rPr>
        <w:t>Van Colle c Chief Constable of the Hertfordshire Police</w:t>
      </w:r>
      <w:r w:rsidRPr="00F01794">
        <w:rPr>
          <w:rFonts w:ascii="Arial" w:hAnsi="Arial" w:cs="Arial"/>
          <w:sz w:val="22"/>
          <w:szCs w:val="22"/>
        </w:rPr>
        <w:t xml:space="preserve"> [2009] 1 AC 225 [at paragraph 115];</w:t>
      </w:r>
    </w:p>
    <w:p w14:paraId="0D189F94" w14:textId="3346AC2A" w:rsidR="00DD6DE0" w:rsidRPr="00F01794" w:rsidRDefault="00DD6DE0" w:rsidP="00DD6DE0">
      <w:pPr>
        <w:pStyle w:val="ListParagraph"/>
        <w:tabs>
          <w:tab w:val="num" w:pos="567"/>
        </w:tabs>
        <w:ind w:left="1134" w:hanging="425"/>
        <w:jc w:val="both"/>
        <w:rPr>
          <w:rFonts w:ascii="Arial" w:hAnsi="Arial" w:cs="Arial"/>
          <w:sz w:val="22"/>
          <w:szCs w:val="22"/>
        </w:rPr>
      </w:pPr>
      <w:r w:rsidRPr="00F01794">
        <w:rPr>
          <w:rFonts w:ascii="Arial" w:hAnsi="Arial" w:cs="Arial"/>
          <w:sz w:val="22"/>
          <w:szCs w:val="22"/>
        </w:rPr>
        <w:t>d)</w:t>
      </w:r>
      <w:r w:rsidRPr="00F01794">
        <w:rPr>
          <w:rFonts w:ascii="Arial" w:hAnsi="Arial" w:cs="Arial"/>
          <w:sz w:val="22"/>
          <w:szCs w:val="22"/>
        </w:rPr>
        <w:tab/>
        <w:t>the public health risk created by any one individual (particularly where that person is not infected with COVID</w:t>
      </w:r>
      <w:r w:rsidR="00267BD6" w:rsidRPr="00F01794">
        <w:rPr>
          <w:rFonts w:ascii="Arial" w:hAnsi="Arial" w:cs="Arial"/>
          <w:sz w:val="22"/>
          <w:szCs w:val="22"/>
        </w:rPr>
        <w:t>-19</w:t>
      </w:r>
      <w:r w:rsidRPr="00F01794">
        <w:rPr>
          <w:rFonts w:ascii="Arial" w:hAnsi="Arial" w:cs="Arial"/>
          <w:sz w:val="22"/>
          <w:szCs w:val="22"/>
        </w:rPr>
        <w:t>) is likely to be minimal. The Tribunal will have to consider a multitude of factors in order to consider whether there is any particular risk to and created by a single individual being refused accommodation and failing to return to their country of origin;</w:t>
      </w:r>
    </w:p>
    <w:p w14:paraId="04AEBAA6" w14:textId="77777777" w:rsidR="00DD6DE0" w:rsidRPr="00F01794" w:rsidRDefault="00DD6DE0" w:rsidP="00DD6DE0">
      <w:pPr>
        <w:pStyle w:val="Default"/>
        <w:ind w:left="1134" w:hanging="425"/>
        <w:jc w:val="both"/>
        <w:rPr>
          <w:rFonts w:ascii="Arial" w:hAnsi="Arial" w:cs="Arial"/>
          <w:color w:val="auto"/>
          <w:sz w:val="22"/>
          <w:szCs w:val="22"/>
        </w:rPr>
      </w:pPr>
      <w:r w:rsidRPr="00F01794">
        <w:rPr>
          <w:rFonts w:ascii="Arial" w:hAnsi="Arial" w:cs="Arial"/>
          <w:color w:val="auto"/>
          <w:sz w:val="22"/>
          <w:szCs w:val="22"/>
        </w:rPr>
        <w:t>e)</w:t>
      </w:r>
      <w:r w:rsidRPr="00F01794">
        <w:rPr>
          <w:rFonts w:ascii="Arial" w:hAnsi="Arial" w:cs="Arial"/>
          <w:color w:val="auto"/>
          <w:sz w:val="22"/>
          <w:szCs w:val="22"/>
        </w:rPr>
        <w:tab/>
        <w:t xml:space="preserve">public health is not the only relevant policy objective. There is and remains a compelling public interest in encouraging individuals to depart when they have no right to be in the UK, and not expending scarce public resources on persons with no right to remain in the UK and the option of going elsewhere. </w:t>
      </w:r>
    </w:p>
    <w:p w14:paraId="3E3B2987" w14:textId="77777777" w:rsidR="00DD6DE0" w:rsidRPr="00F01794" w:rsidRDefault="00DD6DE0" w:rsidP="00DD6DE0">
      <w:pPr>
        <w:tabs>
          <w:tab w:val="num" w:pos="567"/>
        </w:tabs>
        <w:ind w:left="1134" w:hanging="425"/>
        <w:jc w:val="both"/>
        <w:rPr>
          <w:rFonts w:ascii="Arial" w:hAnsi="Arial" w:cs="Arial"/>
          <w:sz w:val="22"/>
          <w:szCs w:val="22"/>
        </w:rPr>
      </w:pPr>
      <w:r w:rsidRPr="00F01794">
        <w:rPr>
          <w:rFonts w:ascii="Arial" w:hAnsi="Arial" w:cs="Arial"/>
          <w:sz w:val="22"/>
          <w:szCs w:val="22"/>
        </w:rPr>
        <w:t>f)</w:t>
      </w:r>
      <w:r w:rsidRPr="00F01794">
        <w:rPr>
          <w:rFonts w:ascii="Arial" w:hAnsi="Arial" w:cs="Arial"/>
          <w:sz w:val="22"/>
          <w:szCs w:val="22"/>
        </w:rPr>
        <w:tab/>
        <w:t>there is also a compelling public interest in maintaining confidence in the integrity of the immigration and asylum system, which is undermined when individuals are enabled to live in the UK at public expense despite having no entitlement to do so; and</w:t>
      </w:r>
    </w:p>
    <w:p w14:paraId="7EB4F4DC" w14:textId="77777777" w:rsidR="00DD6DE0" w:rsidRPr="00F01794" w:rsidRDefault="00DD6DE0" w:rsidP="00DD6DE0">
      <w:pPr>
        <w:tabs>
          <w:tab w:val="num" w:pos="567"/>
        </w:tabs>
        <w:ind w:left="1134" w:hanging="425"/>
        <w:jc w:val="both"/>
        <w:rPr>
          <w:rFonts w:ascii="Arial" w:hAnsi="Arial" w:cs="Arial"/>
          <w:sz w:val="22"/>
          <w:szCs w:val="22"/>
        </w:rPr>
      </w:pPr>
      <w:r w:rsidRPr="00F01794">
        <w:rPr>
          <w:rFonts w:ascii="Arial" w:hAnsi="Arial" w:cs="Arial"/>
          <w:sz w:val="22"/>
          <w:szCs w:val="22"/>
        </w:rPr>
        <w:t>g)</w:t>
      </w:r>
      <w:r w:rsidRPr="00F01794">
        <w:rPr>
          <w:rFonts w:ascii="Arial" w:hAnsi="Arial" w:cs="Arial"/>
          <w:sz w:val="22"/>
          <w:szCs w:val="22"/>
        </w:rPr>
        <w:tab/>
        <w:t xml:space="preserve">furthermore, accommodation is a scarce and expensive resource and should be reserved for refugees awaiting determination of their claim. </w:t>
      </w:r>
    </w:p>
    <w:p w14:paraId="7F228D6F" w14:textId="77777777" w:rsidR="00DD6DE0" w:rsidRPr="00A4399B" w:rsidRDefault="00DD6DE0" w:rsidP="00DD6DE0">
      <w:pPr>
        <w:pStyle w:val="Default"/>
        <w:rPr>
          <w:color w:val="auto"/>
        </w:rPr>
      </w:pPr>
    </w:p>
    <w:p w14:paraId="6B98E2B8" w14:textId="442B232E" w:rsidR="00DD6DE0" w:rsidRPr="00A4399B" w:rsidRDefault="00DD6DE0" w:rsidP="00F731E7">
      <w:pPr>
        <w:pStyle w:val="ListParagraph"/>
        <w:numPr>
          <w:ilvl w:val="0"/>
          <w:numId w:val="3"/>
        </w:numPr>
        <w:tabs>
          <w:tab w:val="clear" w:pos="1004"/>
          <w:tab w:val="num" w:pos="567"/>
        </w:tabs>
        <w:ind w:left="567" w:hanging="567"/>
        <w:jc w:val="both"/>
        <w:rPr>
          <w:rFonts w:ascii="Arial" w:hAnsi="Arial" w:cs="Arial"/>
          <w:sz w:val="22"/>
          <w:szCs w:val="22"/>
        </w:rPr>
      </w:pPr>
      <w:r w:rsidRPr="00A4399B">
        <w:rPr>
          <w:rFonts w:ascii="Arial" w:hAnsi="Arial" w:cs="Arial"/>
          <w:sz w:val="22"/>
          <w:szCs w:val="22"/>
        </w:rPr>
        <w:t>Turning to the facts of the appellant’s case, Ms Idelbi submit</w:t>
      </w:r>
      <w:r w:rsidR="00FB0FB5">
        <w:rPr>
          <w:rFonts w:ascii="Arial" w:hAnsi="Arial" w:cs="Arial"/>
          <w:sz w:val="22"/>
          <w:szCs w:val="22"/>
        </w:rPr>
        <w:t>ted</w:t>
      </w:r>
      <w:r w:rsidRPr="00A4399B">
        <w:rPr>
          <w:rFonts w:ascii="Arial" w:hAnsi="Arial" w:cs="Arial"/>
          <w:sz w:val="22"/>
          <w:szCs w:val="22"/>
        </w:rPr>
        <w:t xml:space="preserve"> that but for the</w:t>
      </w:r>
      <w:r w:rsidR="00F731E7">
        <w:rPr>
          <w:rFonts w:ascii="Arial" w:hAnsi="Arial" w:cs="Arial"/>
          <w:sz w:val="22"/>
          <w:szCs w:val="22"/>
        </w:rPr>
        <w:t xml:space="preserve"> </w:t>
      </w:r>
      <w:r w:rsidRPr="00A4399B">
        <w:rPr>
          <w:rFonts w:ascii="Arial" w:hAnsi="Arial" w:cs="Arial"/>
          <w:sz w:val="22"/>
          <w:szCs w:val="22"/>
        </w:rPr>
        <w:t>presence of C</w:t>
      </w:r>
      <w:r w:rsidR="0002689B" w:rsidRPr="00A4399B">
        <w:rPr>
          <w:rFonts w:ascii="Arial" w:hAnsi="Arial" w:cs="Arial"/>
          <w:sz w:val="22"/>
          <w:szCs w:val="22"/>
        </w:rPr>
        <w:t>OVID</w:t>
      </w:r>
      <w:r w:rsidRPr="00A4399B">
        <w:rPr>
          <w:rFonts w:ascii="Arial" w:hAnsi="Arial" w:cs="Arial"/>
          <w:sz w:val="22"/>
          <w:szCs w:val="22"/>
        </w:rPr>
        <w:t>-19, it would not be suggested that the appellant is entitled to section 4 support because:</w:t>
      </w:r>
    </w:p>
    <w:p w14:paraId="633E8F5F" w14:textId="77777777" w:rsidR="00DD6DE0" w:rsidRPr="00A4399B" w:rsidRDefault="00DD6DE0" w:rsidP="00DD6DE0">
      <w:pPr>
        <w:tabs>
          <w:tab w:val="num" w:pos="0"/>
          <w:tab w:val="num" w:pos="567"/>
        </w:tabs>
        <w:jc w:val="both"/>
        <w:rPr>
          <w:rFonts w:ascii="Arial" w:hAnsi="Arial" w:cs="Arial"/>
          <w:sz w:val="22"/>
          <w:szCs w:val="22"/>
        </w:rPr>
      </w:pPr>
    </w:p>
    <w:p w14:paraId="720F2A51" w14:textId="77777777" w:rsidR="00DD6DE0" w:rsidRPr="00A4399B" w:rsidRDefault="00DD6DE0" w:rsidP="006F2446">
      <w:pPr>
        <w:pStyle w:val="ListParagraph"/>
        <w:tabs>
          <w:tab w:val="num" w:pos="720"/>
          <w:tab w:val="left" w:pos="1134"/>
          <w:tab w:val="left" w:pos="7938"/>
        </w:tabs>
        <w:ind w:left="1134" w:hanging="414"/>
        <w:jc w:val="both"/>
        <w:rPr>
          <w:rFonts w:ascii="Arial" w:hAnsi="Arial" w:cs="Arial"/>
          <w:sz w:val="22"/>
          <w:szCs w:val="22"/>
        </w:rPr>
      </w:pPr>
      <w:r w:rsidRPr="00A4399B">
        <w:rPr>
          <w:rFonts w:ascii="Arial" w:hAnsi="Arial" w:cs="Arial"/>
          <w:sz w:val="22"/>
          <w:szCs w:val="22"/>
        </w:rPr>
        <w:t>a)</w:t>
      </w:r>
      <w:r w:rsidRPr="00A4399B">
        <w:rPr>
          <w:rFonts w:ascii="Arial" w:hAnsi="Arial" w:cs="Arial"/>
          <w:sz w:val="22"/>
          <w:szCs w:val="22"/>
        </w:rPr>
        <w:tab/>
        <w:t xml:space="preserve">his asylum claim has been rejected and he would be able to avoid any potential risk from non-state actors by relocating internally within Afghanistan; </w:t>
      </w:r>
    </w:p>
    <w:p w14:paraId="4AD75A77" w14:textId="14535711" w:rsidR="00DD6DE0" w:rsidRPr="00A4399B" w:rsidRDefault="00DD6DE0" w:rsidP="006F2446">
      <w:pPr>
        <w:pStyle w:val="ListParagraph"/>
        <w:tabs>
          <w:tab w:val="num" w:pos="720"/>
          <w:tab w:val="left" w:pos="1134"/>
          <w:tab w:val="left" w:pos="7938"/>
        </w:tabs>
        <w:ind w:left="1134" w:hanging="414"/>
        <w:jc w:val="both"/>
        <w:rPr>
          <w:rFonts w:ascii="Arial" w:hAnsi="Arial" w:cs="Arial"/>
          <w:sz w:val="22"/>
          <w:szCs w:val="22"/>
        </w:rPr>
      </w:pPr>
      <w:r w:rsidRPr="00A4399B">
        <w:rPr>
          <w:rFonts w:ascii="Arial" w:hAnsi="Arial" w:cs="Arial"/>
          <w:sz w:val="22"/>
          <w:szCs w:val="22"/>
        </w:rPr>
        <w:t>b)</w:t>
      </w:r>
      <w:r w:rsidRPr="00A4399B">
        <w:rPr>
          <w:rFonts w:ascii="Arial" w:hAnsi="Arial" w:cs="Arial"/>
          <w:sz w:val="22"/>
          <w:szCs w:val="22"/>
        </w:rPr>
        <w:tab/>
        <w:t>there are currently flights to Afghanistan, although applicants must comply with a C</w:t>
      </w:r>
      <w:r w:rsidR="00A93994" w:rsidRPr="00A4399B">
        <w:rPr>
          <w:rFonts w:ascii="Arial" w:hAnsi="Arial" w:cs="Arial"/>
          <w:sz w:val="22"/>
          <w:szCs w:val="22"/>
        </w:rPr>
        <w:t>OVID-19</w:t>
      </w:r>
      <w:r w:rsidRPr="00A4399B">
        <w:rPr>
          <w:rFonts w:ascii="Arial" w:hAnsi="Arial" w:cs="Arial"/>
          <w:sz w:val="22"/>
          <w:szCs w:val="22"/>
        </w:rPr>
        <w:t xml:space="preserve"> test; </w:t>
      </w:r>
    </w:p>
    <w:p w14:paraId="42B65694" w14:textId="525B726F" w:rsidR="00DD6DE0" w:rsidRPr="00A4399B" w:rsidRDefault="00DD6DE0" w:rsidP="006F2446">
      <w:pPr>
        <w:pStyle w:val="Default"/>
        <w:tabs>
          <w:tab w:val="num" w:pos="720"/>
          <w:tab w:val="left" w:pos="1134"/>
          <w:tab w:val="left" w:pos="7938"/>
        </w:tabs>
        <w:ind w:firstLine="720"/>
        <w:jc w:val="both"/>
        <w:rPr>
          <w:rFonts w:ascii="Arial" w:hAnsi="Arial" w:cs="Arial"/>
          <w:color w:val="auto"/>
          <w:sz w:val="22"/>
          <w:szCs w:val="22"/>
        </w:rPr>
      </w:pPr>
      <w:r w:rsidRPr="00A4399B">
        <w:rPr>
          <w:rFonts w:ascii="Arial" w:hAnsi="Arial" w:cs="Arial"/>
          <w:color w:val="auto"/>
          <w:sz w:val="22"/>
          <w:szCs w:val="22"/>
        </w:rPr>
        <w:t xml:space="preserve">c)   </w:t>
      </w:r>
      <w:r w:rsidR="00795E1E" w:rsidRPr="00A4399B">
        <w:rPr>
          <w:rFonts w:ascii="Arial" w:hAnsi="Arial" w:cs="Arial"/>
          <w:sz w:val="22"/>
          <w:szCs w:val="22"/>
        </w:rPr>
        <w:t xml:space="preserve">the appellant </w:t>
      </w:r>
      <w:r w:rsidRPr="00A4399B">
        <w:rPr>
          <w:rFonts w:ascii="Arial" w:hAnsi="Arial" w:cs="Arial"/>
          <w:color w:val="auto"/>
          <w:sz w:val="22"/>
          <w:szCs w:val="22"/>
        </w:rPr>
        <w:t xml:space="preserve">has no lawful basis to remain in the UK; </w:t>
      </w:r>
    </w:p>
    <w:p w14:paraId="68245350" w14:textId="77777777" w:rsidR="00DD6DE0" w:rsidRPr="00A4399B" w:rsidRDefault="00DD6DE0" w:rsidP="006F2446">
      <w:pPr>
        <w:pStyle w:val="Default"/>
        <w:tabs>
          <w:tab w:val="num" w:pos="720"/>
          <w:tab w:val="left" w:pos="1134"/>
          <w:tab w:val="left" w:pos="7938"/>
        </w:tabs>
        <w:ind w:firstLine="720"/>
        <w:jc w:val="both"/>
        <w:rPr>
          <w:rFonts w:ascii="Arial" w:hAnsi="Arial" w:cs="Arial"/>
          <w:color w:val="auto"/>
          <w:sz w:val="22"/>
          <w:szCs w:val="22"/>
        </w:rPr>
      </w:pPr>
      <w:r w:rsidRPr="00A4399B">
        <w:rPr>
          <w:rFonts w:ascii="Arial" w:hAnsi="Arial" w:cs="Arial"/>
          <w:color w:val="auto"/>
          <w:sz w:val="22"/>
          <w:szCs w:val="22"/>
        </w:rPr>
        <w:t>d)   he does not otherwise meet the criteria set out regulation 3(2);</w:t>
      </w:r>
    </w:p>
    <w:p w14:paraId="549D2550" w14:textId="3D3C65C7" w:rsidR="00DD6DE0" w:rsidRPr="00A4399B" w:rsidRDefault="00DD6DE0" w:rsidP="006F2446">
      <w:pPr>
        <w:pStyle w:val="Default"/>
        <w:tabs>
          <w:tab w:val="num" w:pos="720"/>
          <w:tab w:val="left" w:pos="1134"/>
          <w:tab w:val="left" w:pos="7938"/>
        </w:tabs>
        <w:ind w:left="1134" w:hanging="414"/>
        <w:jc w:val="both"/>
        <w:rPr>
          <w:rFonts w:ascii="Arial" w:hAnsi="Arial" w:cs="Arial"/>
          <w:color w:val="auto"/>
          <w:sz w:val="22"/>
          <w:szCs w:val="22"/>
        </w:rPr>
      </w:pPr>
      <w:r w:rsidRPr="00A4399B">
        <w:rPr>
          <w:rFonts w:ascii="Arial" w:hAnsi="Arial" w:cs="Arial"/>
          <w:color w:val="auto"/>
          <w:sz w:val="22"/>
          <w:szCs w:val="22"/>
        </w:rPr>
        <w:t xml:space="preserve">e) </w:t>
      </w:r>
      <w:r w:rsidRPr="00A4399B">
        <w:rPr>
          <w:rFonts w:ascii="Arial" w:hAnsi="Arial" w:cs="Arial"/>
          <w:color w:val="auto"/>
          <w:sz w:val="22"/>
          <w:szCs w:val="22"/>
        </w:rPr>
        <w:tab/>
        <w:t>the burden of proof rests on</w:t>
      </w:r>
      <w:r w:rsidR="009E50C5" w:rsidRPr="009E50C5">
        <w:rPr>
          <w:rFonts w:ascii="Arial" w:hAnsi="Arial" w:cs="Arial"/>
          <w:sz w:val="22"/>
          <w:szCs w:val="22"/>
        </w:rPr>
        <w:t xml:space="preserve"> </w:t>
      </w:r>
      <w:r w:rsidR="009E50C5" w:rsidRPr="00A4399B">
        <w:rPr>
          <w:rFonts w:ascii="Arial" w:hAnsi="Arial" w:cs="Arial"/>
          <w:sz w:val="22"/>
          <w:szCs w:val="22"/>
        </w:rPr>
        <w:t>the appellant</w:t>
      </w:r>
      <w:r w:rsidRPr="00A4399B">
        <w:rPr>
          <w:rFonts w:ascii="Arial" w:hAnsi="Arial" w:cs="Arial"/>
          <w:color w:val="auto"/>
          <w:sz w:val="22"/>
          <w:szCs w:val="22"/>
        </w:rPr>
        <w:t xml:space="preserve"> to demonstrate that there will be a breach of his rights and/or the rights of others;</w:t>
      </w:r>
    </w:p>
    <w:p w14:paraId="2BAD5491" w14:textId="77777777" w:rsidR="00DD6DE0" w:rsidRPr="00A4399B" w:rsidRDefault="00DD6DE0" w:rsidP="006F2446">
      <w:pPr>
        <w:pStyle w:val="Default"/>
        <w:tabs>
          <w:tab w:val="num" w:pos="720"/>
          <w:tab w:val="left" w:pos="1134"/>
          <w:tab w:val="left" w:pos="7938"/>
        </w:tabs>
        <w:ind w:left="1134" w:hanging="414"/>
        <w:jc w:val="both"/>
        <w:rPr>
          <w:rFonts w:ascii="Arial" w:hAnsi="Arial" w:cs="Arial"/>
          <w:color w:val="auto"/>
          <w:sz w:val="22"/>
          <w:szCs w:val="22"/>
        </w:rPr>
      </w:pPr>
      <w:r w:rsidRPr="00A4399B">
        <w:rPr>
          <w:rFonts w:ascii="Arial" w:hAnsi="Arial" w:cs="Arial"/>
          <w:color w:val="auto"/>
          <w:sz w:val="22"/>
          <w:szCs w:val="22"/>
        </w:rPr>
        <w:t>f)</w:t>
      </w:r>
      <w:r w:rsidRPr="00A4399B">
        <w:rPr>
          <w:rFonts w:ascii="Arial" w:hAnsi="Arial" w:cs="Arial"/>
          <w:color w:val="auto"/>
          <w:sz w:val="22"/>
          <w:szCs w:val="22"/>
        </w:rPr>
        <w:tab/>
      </w:r>
      <w:r w:rsidRPr="00A4399B">
        <w:rPr>
          <w:rFonts w:ascii="Arial" w:hAnsi="Arial" w:cs="Arial"/>
          <w:i/>
          <w:color w:val="auto"/>
          <w:sz w:val="22"/>
          <w:szCs w:val="22"/>
        </w:rPr>
        <w:t xml:space="preserve">PA and MA </w:t>
      </w:r>
      <w:r w:rsidRPr="00A4399B">
        <w:rPr>
          <w:rFonts w:ascii="Arial" w:hAnsi="Arial" w:cs="Arial"/>
          <w:color w:val="auto"/>
          <w:sz w:val="22"/>
          <w:szCs w:val="22"/>
        </w:rPr>
        <w:t>do not provide any support for the suggestion that a breach of the appellant’s convention rights alone would entitle him to support;</w:t>
      </w:r>
    </w:p>
    <w:p w14:paraId="339204BC" w14:textId="637B0A97" w:rsidR="00DD6DE0" w:rsidRPr="00A4399B" w:rsidRDefault="00DD6DE0" w:rsidP="006F2446">
      <w:pPr>
        <w:pStyle w:val="Default"/>
        <w:tabs>
          <w:tab w:val="num" w:pos="720"/>
          <w:tab w:val="left" w:pos="1134"/>
          <w:tab w:val="left" w:pos="7938"/>
        </w:tabs>
        <w:ind w:left="1134" w:hanging="414"/>
        <w:jc w:val="both"/>
        <w:rPr>
          <w:rFonts w:ascii="Arial" w:hAnsi="Arial" w:cs="Arial"/>
          <w:color w:val="auto"/>
          <w:sz w:val="22"/>
          <w:szCs w:val="22"/>
        </w:rPr>
      </w:pPr>
      <w:r w:rsidRPr="00A4399B">
        <w:rPr>
          <w:rFonts w:ascii="Arial" w:hAnsi="Arial" w:cs="Arial"/>
          <w:color w:val="auto"/>
          <w:sz w:val="22"/>
          <w:szCs w:val="22"/>
        </w:rPr>
        <w:t>g)</w:t>
      </w:r>
      <w:r w:rsidRPr="00A4399B">
        <w:rPr>
          <w:rFonts w:ascii="Arial" w:hAnsi="Arial" w:cs="Arial"/>
          <w:color w:val="auto"/>
          <w:sz w:val="22"/>
          <w:szCs w:val="22"/>
        </w:rPr>
        <w:tab/>
      </w:r>
      <w:r w:rsidR="009E50C5" w:rsidRPr="00A4399B">
        <w:rPr>
          <w:rFonts w:ascii="Arial" w:hAnsi="Arial" w:cs="Arial"/>
          <w:sz w:val="22"/>
          <w:szCs w:val="22"/>
        </w:rPr>
        <w:t xml:space="preserve">the appellant </w:t>
      </w:r>
      <w:r w:rsidRPr="00A4399B">
        <w:rPr>
          <w:rFonts w:ascii="Arial" w:hAnsi="Arial" w:cs="Arial"/>
          <w:color w:val="auto"/>
          <w:sz w:val="22"/>
          <w:szCs w:val="22"/>
        </w:rPr>
        <w:t xml:space="preserve">has not provided any evidence to suggest that the denial of accommodation to him specifically is likely to cause a breach of </w:t>
      </w:r>
    </w:p>
    <w:p w14:paraId="03CC73C5" w14:textId="5062EF30" w:rsidR="00DD6DE0" w:rsidRDefault="00DD6DE0" w:rsidP="006F2446">
      <w:pPr>
        <w:pStyle w:val="Default"/>
        <w:tabs>
          <w:tab w:val="num" w:pos="720"/>
          <w:tab w:val="left" w:pos="1134"/>
          <w:tab w:val="left" w:pos="7938"/>
        </w:tabs>
        <w:ind w:left="1134"/>
        <w:jc w:val="both"/>
        <w:rPr>
          <w:rFonts w:ascii="Arial" w:hAnsi="Arial" w:cs="Arial"/>
          <w:color w:val="auto"/>
          <w:sz w:val="22"/>
          <w:szCs w:val="22"/>
        </w:rPr>
      </w:pPr>
      <w:r w:rsidRPr="00A4399B">
        <w:rPr>
          <w:rFonts w:ascii="Arial" w:hAnsi="Arial" w:cs="Arial"/>
          <w:color w:val="auto"/>
          <w:sz w:val="22"/>
          <w:szCs w:val="22"/>
        </w:rPr>
        <w:t xml:space="preserve">his human rights or the rights of others. </w:t>
      </w:r>
    </w:p>
    <w:p w14:paraId="7E7EE89D" w14:textId="65AEC99E" w:rsidR="00BA6DE7" w:rsidRDefault="00BA6DE7" w:rsidP="001033E7">
      <w:pPr>
        <w:pStyle w:val="Default"/>
        <w:tabs>
          <w:tab w:val="num" w:pos="720"/>
          <w:tab w:val="left" w:pos="1134"/>
          <w:tab w:val="left" w:pos="7938"/>
        </w:tabs>
        <w:ind w:left="1134"/>
        <w:jc w:val="both"/>
        <w:rPr>
          <w:rFonts w:ascii="Arial" w:hAnsi="Arial" w:cs="Arial"/>
          <w:color w:val="auto"/>
          <w:sz w:val="22"/>
          <w:szCs w:val="22"/>
        </w:rPr>
      </w:pPr>
    </w:p>
    <w:p w14:paraId="7D799287" w14:textId="77777777" w:rsidR="00BA6DE7" w:rsidRPr="00A4399B" w:rsidRDefault="00BA6DE7" w:rsidP="001033E7">
      <w:pPr>
        <w:pStyle w:val="Default"/>
        <w:tabs>
          <w:tab w:val="num" w:pos="720"/>
          <w:tab w:val="left" w:pos="1134"/>
          <w:tab w:val="left" w:pos="7938"/>
        </w:tabs>
        <w:ind w:left="1134"/>
        <w:jc w:val="both"/>
        <w:rPr>
          <w:rFonts w:ascii="Arial" w:hAnsi="Arial" w:cs="Arial"/>
          <w:color w:val="auto"/>
          <w:sz w:val="22"/>
          <w:szCs w:val="22"/>
        </w:rPr>
      </w:pPr>
    </w:p>
    <w:p w14:paraId="3C97E407" w14:textId="77777777" w:rsidR="003D33CB" w:rsidRPr="00A4399B" w:rsidRDefault="003D33CB" w:rsidP="00491133">
      <w:pPr>
        <w:tabs>
          <w:tab w:val="num" w:pos="567"/>
        </w:tabs>
        <w:jc w:val="both"/>
        <w:rPr>
          <w:rFonts w:ascii="Arial Black" w:hAnsi="Arial Black" w:cs="Arial"/>
          <w:b/>
          <w:smallCaps/>
          <w:sz w:val="22"/>
          <w:szCs w:val="22"/>
        </w:rPr>
      </w:pPr>
      <w:r w:rsidRPr="00A4399B">
        <w:rPr>
          <w:rFonts w:ascii="Arial Black" w:hAnsi="Arial Black" w:cs="Arial"/>
          <w:b/>
          <w:smallCaps/>
          <w:sz w:val="22"/>
          <w:szCs w:val="22"/>
        </w:rPr>
        <w:t>The Legislative Framework</w:t>
      </w:r>
    </w:p>
    <w:p w14:paraId="2A13B5BD" w14:textId="77777777" w:rsidR="003D33CB" w:rsidRPr="00A4399B" w:rsidRDefault="003D33CB" w:rsidP="003D33CB">
      <w:pPr>
        <w:tabs>
          <w:tab w:val="num" w:pos="567"/>
        </w:tabs>
        <w:ind w:left="567" w:hanging="567"/>
        <w:jc w:val="both"/>
        <w:rPr>
          <w:rFonts w:ascii="Arial" w:hAnsi="Arial" w:cs="Arial"/>
          <w:sz w:val="22"/>
          <w:szCs w:val="22"/>
        </w:rPr>
      </w:pPr>
    </w:p>
    <w:p w14:paraId="512FDB4A" w14:textId="77777777" w:rsidR="003D33CB" w:rsidRPr="00A4399B" w:rsidRDefault="003D33CB" w:rsidP="003D33CB">
      <w:pPr>
        <w:numPr>
          <w:ilvl w:val="0"/>
          <w:numId w:val="3"/>
        </w:numPr>
        <w:tabs>
          <w:tab w:val="num" w:pos="0"/>
          <w:tab w:val="num" w:pos="567"/>
        </w:tabs>
        <w:ind w:left="0" w:firstLine="0"/>
        <w:jc w:val="both"/>
        <w:rPr>
          <w:rFonts w:ascii="Arial" w:hAnsi="Arial" w:cs="Arial"/>
          <w:sz w:val="22"/>
          <w:szCs w:val="22"/>
        </w:rPr>
      </w:pPr>
      <w:r w:rsidRPr="00A4399B">
        <w:rPr>
          <w:rFonts w:ascii="Arial" w:hAnsi="Arial" w:cs="Arial"/>
          <w:sz w:val="22"/>
          <w:szCs w:val="22"/>
        </w:rPr>
        <w:t>Section 4 of the 1999 Act (as amended) by Section 49 of the Nationality, Immigration and Asylum Act 2002 and Section 10 of the Asylum and Immigration (treatment of claimants, etc.) Act 2004 provides:</w:t>
      </w:r>
    </w:p>
    <w:p w14:paraId="33FC9899" w14:textId="77777777" w:rsidR="003D33CB" w:rsidRPr="00A4399B" w:rsidRDefault="003D33CB" w:rsidP="003D33CB">
      <w:pPr>
        <w:tabs>
          <w:tab w:val="left" w:pos="720"/>
        </w:tabs>
        <w:ind w:left="720" w:right="283"/>
        <w:jc w:val="both"/>
        <w:rPr>
          <w:rFonts w:ascii="Arial" w:hAnsi="Arial" w:cs="Arial"/>
          <w:b/>
          <w:sz w:val="22"/>
          <w:szCs w:val="22"/>
        </w:rPr>
      </w:pPr>
    </w:p>
    <w:p w14:paraId="7C7702F0" w14:textId="77777777" w:rsidR="003D33CB" w:rsidRPr="00A4399B" w:rsidRDefault="003D33CB" w:rsidP="003D33CB">
      <w:pPr>
        <w:tabs>
          <w:tab w:val="left" w:pos="720"/>
        </w:tabs>
        <w:ind w:left="720" w:right="283"/>
        <w:jc w:val="both"/>
        <w:rPr>
          <w:rFonts w:ascii="Arial" w:hAnsi="Arial" w:cs="Arial"/>
          <w:b/>
          <w:sz w:val="22"/>
          <w:szCs w:val="22"/>
        </w:rPr>
      </w:pPr>
      <w:r w:rsidRPr="00A4399B">
        <w:rPr>
          <w:rFonts w:ascii="Arial" w:hAnsi="Arial" w:cs="Arial"/>
          <w:b/>
          <w:sz w:val="22"/>
          <w:szCs w:val="22"/>
        </w:rPr>
        <w:t>Accommodation for Persons on Temporary Admission or Release</w:t>
      </w:r>
    </w:p>
    <w:p w14:paraId="7CB8BDD3" w14:textId="6F50E1F3" w:rsidR="003D33CB" w:rsidRPr="00A4399B" w:rsidRDefault="003D33CB" w:rsidP="003D33CB">
      <w:pPr>
        <w:ind w:left="1440" w:right="283" w:hanging="540"/>
        <w:jc w:val="both"/>
        <w:rPr>
          <w:rFonts w:ascii="Arial" w:hAnsi="Arial" w:cs="Arial"/>
          <w:sz w:val="22"/>
          <w:szCs w:val="22"/>
        </w:rPr>
      </w:pPr>
      <w:r w:rsidRPr="00A4399B">
        <w:rPr>
          <w:rFonts w:ascii="Arial" w:hAnsi="Arial" w:cs="Arial"/>
          <w:sz w:val="22"/>
          <w:szCs w:val="22"/>
        </w:rPr>
        <w:t xml:space="preserve">(1) </w:t>
      </w:r>
      <w:r w:rsidRPr="00A4399B">
        <w:rPr>
          <w:rFonts w:ascii="Arial" w:hAnsi="Arial" w:cs="Arial"/>
          <w:sz w:val="22"/>
          <w:szCs w:val="22"/>
        </w:rPr>
        <w:tab/>
        <w:t>…..</w:t>
      </w:r>
    </w:p>
    <w:p w14:paraId="5657459B" w14:textId="77777777" w:rsidR="003D33CB" w:rsidRPr="00A4399B" w:rsidRDefault="003D33CB" w:rsidP="003D33CB">
      <w:pPr>
        <w:autoSpaceDE w:val="0"/>
        <w:autoSpaceDN w:val="0"/>
        <w:adjustRightInd w:val="0"/>
        <w:ind w:left="1980" w:right="283"/>
        <w:jc w:val="both"/>
        <w:rPr>
          <w:rFonts w:ascii="Arial" w:hAnsi="Arial" w:cs="Arial"/>
          <w:sz w:val="22"/>
          <w:szCs w:val="22"/>
        </w:rPr>
      </w:pPr>
    </w:p>
    <w:p w14:paraId="6D16322F" w14:textId="77777777" w:rsidR="003D33CB" w:rsidRPr="00A4399B" w:rsidRDefault="003D33CB" w:rsidP="003D33CB">
      <w:pPr>
        <w:shd w:val="clear" w:color="auto" w:fill="FFFFFF"/>
        <w:ind w:left="1260" w:right="283" w:hanging="360"/>
        <w:rPr>
          <w:rFonts w:ascii="Arial" w:hAnsi="Arial" w:cs="Arial"/>
          <w:sz w:val="22"/>
          <w:szCs w:val="22"/>
          <w:lang w:val="en"/>
        </w:rPr>
      </w:pPr>
      <w:r w:rsidRPr="00A4399B">
        <w:rPr>
          <w:rFonts w:ascii="Arial" w:hAnsi="Arial" w:cs="Arial"/>
          <w:sz w:val="22"/>
          <w:szCs w:val="22"/>
          <w:lang w:val="en"/>
        </w:rPr>
        <w:t xml:space="preserve">(2) The Secretary of State may provide, or arrange for the provision of, facilities for the accommodation of a person if— </w:t>
      </w:r>
    </w:p>
    <w:p w14:paraId="07901DFA" w14:textId="77777777" w:rsidR="003D33CB" w:rsidRPr="00A4399B" w:rsidRDefault="003D33CB" w:rsidP="003D33CB">
      <w:pPr>
        <w:shd w:val="clear" w:color="auto" w:fill="FFFFFF"/>
        <w:ind w:left="1080" w:right="283" w:hanging="180"/>
        <w:rPr>
          <w:rFonts w:ascii="Arial" w:hAnsi="Arial" w:cs="Arial"/>
          <w:sz w:val="22"/>
          <w:szCs w:val="22"/>
          <w:lang w:val="en"/>
        </w:rPr>
      </w:pPr>
    </w:p>
    <w:p w14:paraId="3EDABEB0" w14:textId="4A677C8B" w:rsidR="003D33CB" w:rsidRPr="00A4399B" w:rsidRDefault="003D33CB" w:rsidP="003D33CB">
      <w:pPr>
        <w:shd w:val="clear" w:color="auto" w:fill="FFFFFF"/>
        <w:tabs>
          <w:tab w:val="left" w:pos="1980"/>
        </w:tabs>
        <w:ind w:left="720" w:right="283" w:firstLine="720"/>
        <w:rPr>
          <w:rFonts w:ascii="Arial" w:hAnsi="Arial" w:cs="Arial"/>
          <w:sz w:val="22"/>
          <w:szCs w:val="22"/>
          <w:lang w:val="en"/>
        </w:rPr>
      </w:pPr>
      <w:r w:rsidRPr="00A4399B">
        <w:rPr>
          <w:rFonts w:ascii="Arial" w:hAnsi="Arial" w:cs="Arial"/>
          <w:sz w:val="22"/>
          <w:szCs w:val="22"/>
          <w:lang w:val="en"/>
        </w:rPr>
        <w:t xml:space="preserve">(a)  he was (but is no longer) an asylum-seeker, and </w:t>
      </w:r>
    </w:p>
    <w:p w14:paraId="68D2289F" w14:textId="4ED905AD" w:rsidR="003D33CB" w:rsidRPr="00A4399B" w:rsidRDefault="003D33CB" w:rsidP="003D33CB">
      <w:pPr>
        <w:shd w:val="clear" w:color="auto" w:fill="FFFFFF"/>
        <w:ind w:left="720" w:right="283" w:firstLine="720"/>
        <w:rPr>
          <w:rFonts w:ascii="Arial" w:hAnsi="Arial" w:cs="Arial"/>
          <w:sz w:val="22"/>
          <w:szCs w:val="22"/>
          <w:lang w:val="en"/>
        </w:rPr>
      </w:pPr>
      <w:r w:rsidRPr="00A4399B">
        <w:rPr>
          <w:rFonts w:ascii="Arial" w:hAnsi="Arial" w:cs="Arial"/>
          <w:sz w:val="22"/>
          <w:szCs w:val="22"/>
          <w:lang w:val="en"/>
        </w:rPr>
        <w:t xml:space="preserve">(b)  his claim for asylum was rejected. </w:t>
      </w:r>
    </w:p>
    <w:p w14:paraId="616D4EED" w14:textId="77777777" w:rsidR="003D33CB" w:rsidRPr="00A4399B" w:rsidRDefault="003D33CB" w:rsidP="003D33CB">
      <w:pPr>
        <w:shd w:val="clear" w:color="auto" w:fill="FFFFFF"/>
        <w:ind w:left="720" w:right="283" w:firstLine="720"/>
        <w:rPr>
          <w:rFonts w:ascii="Arial" w:hAnsi="Arial" w:cs="Arial"/>
          <w:sz w:val="22"/>
          <w:szCs w:val="22"/>
          <w:lang w:val="en"/>
        </w:rPr>
      </w:pPr>
    </w:p>
    <w:p w14:paraId="30623032" w14:textId="26002AE2" w:rsidR="00A928D9" w:rsidRPr="00A4399B" w:rsidRDefault="00B269B4" w:rsidP="0045786F">
      <w:pPr>
        <w:pStyle w:val="legclearfix"/>
        <w:shd w:val="clear" w:color="auto" w:fill="FFFFFF"/>
        <w:spacing w:after="60" w:afterAutospacing="0"/>
        <w:ind w:left="1276" w:hanging="425"/>
        <w:rPr>
          <w:rFonts w:ascii="Arial" w:hAnsi="Arial" w:cs="Arial"/>
          <w:sz w:val="23"/>
          <w:szCs w:val="23"/>
        </w:rPr>
      </w:pPr>
      <w:r w:rsidRPr="00A4399B">
        <w:rPr>
          <w:rStyle w:val="legamendingtext"/>
          <w:rFonts w:ascii="Arial" w:hAnsi="Arial" w:cs="Arial"/>
          <w:sz w:val="23"/>
          <w:szCs w:val="23"/>
        </w:rPr>
        <w:t xml:space="preserve">(5) </w:t>
      </w:r>
      <w:r w:rsidR="00B91E0C" w:rsidRPr="00A4399B">
        <w:rPr>
          <w:rStyle w:val="legamendingtext"/>
          <w:rFonts w:ascii="Arial" w:hAnsi="Arial" w:cs="Arial"/>
          <w:sz w:val="23"/>
          <w:szCs w:val="23"/>
        </w:rPr>
        <w:t xml:space="preserve"> </w:t>
      </w:r>
      <w:r w:rsidR="00A928D9" w:rsidRPr="00A4399B">
        <w:rPr>
          <w:rStyle w:val="legamendingtext"/>
          <w:rFonts w:ascii="Arial" w:hAnsi="Arial" w:cs="Arial"/>
          <w:sz w:val="23"/>
          <w:szCs w:val="23"/>
        </w:rPr>
        <w:t>The Secretary of State may make regulations specifying criteria to be used in determining—</w:t>
      </w:r>
    </w:p>
    <w:p w14:paraId="41DFC66E" w14:textId="1854A8C9" w:rsidR="00A928D9" w:rsidRPr="00A4399B" w:rsidRDefault="00A928D9" w:rsidP="00E00ADD">
      <w:pPr>
        <w:pStyle w:val="legclearfix"/>
        <w:shd w:val="clear" w:color="auto" w:fill="FFFFFF"/>
        <w:spacing w:after="60" w:afterAutospacing="0"/>
        <w:ind w:left="1843" w:hanging="425"/>
        <w:rPr>
          <w:rFonts w:ascii="Arial" w:hAnsi="Arial" w:cs="Arial"/>
          <w:sz w:val="23"/>
          <w:szCs w:val="23"/>
        </w:rPr>
      </w:pPr>
      <w:r w:rsidRPr="00A4399B">
        <w:rPr>
          <w:rStyle w:val="legamendingtext"/>
          <w:rFonts w:ascii="Arial" w:hAnsi="Arial" w:cs="Arial"/>
          <w:sz w:val="23"/>
          <w:szCs w:val="23"/>
        </w:rPr>
        <w:t xml:space="preserve">(a) </w:t>
      </w:r>
      <w:r w:rsidR="0045786F" w:rsidRPr="00A4399B">
        <w:rPr>
          <w:rStyle w:val="legamendingtext"/>
          <w:rFonts w:ascii="Arial" w:hAnsi="Arial" w:cs="Arial"/>
          <w:sz w:val="23"/>
          <w:szCs w:val="23"/>
        </w:rPr>
        <w:t xml:space="preserve"> </w:t>
      </w:r>
      <w:r w:rsidRPr="00A4399B">
        <w:rPr>
          <w:rStyle w:val="legamendingtext"/>
          <w:rFonts w:ascii="Arial" w:hAnsi="Arial" w:cs="Arial"/>
          <w:sz w:val="23"/>
          <w:szCs w:val="23"/>
        </w:rPr>
        <w:t>whether or not to provide accommodation, or arrange for the</w:t>
      </w:r>
      <w:r w:rsidR="00E00ADD" w:rsidRPr="00A4399B">
        <w:rPr>
          <w:rStyle w:val="legamendingtext"/>
          <w:rFonts w:ascii="Arial" w:hAnsi="Arial" w:cs="Arial"/>
          <w:sz w:val="23"/>
          <w:szCs w:val="23"/>
        </w:rPr>
        <w:t xml:space="preserve"> </w:t>
      </w:r>
      <w:r w:rsidRPr="00A4399B">
        <w:rPr>
          <w:rStyle w:val="legamendingtext"/>
          <w:rFonts w:ascii="Arial" w:hAnsi="Arial" w:cs="Arial"/>
          <w:sz w:val="23"/>
          <w:szCs w:val="23"/>
        </w:rPr>
        <w:t>provision of accommodation, for a person under this section;</w:t>
      </w:r>
    </w:p>
    <w:p w14:paraId="40CC42C0" w14:textId="77777777" w:rsidR="00A928D9" w:rsidRPr="00A4399B" w:rsidRDefault="00A928D9" w:rsidP="00E00ADD">
      <w:pPr>
        <w:pStyle w:val="legclearfix"/>
        <w:shd w:val="clear" w:color="auto" w:fill="FFFFFF"/>
        <w:spacing w:after="60" w:afterAutospacing="0"/>
        <w:ind w:left="1843" w:hanging="425"/>
        <w:rPr>
          <w:rFonts w:ascii="Arial" w:hAnsi="Arial" w:cs="Arial"/>
          <w:sz w:val="23"/>
          <w:szCs w:val="23"/>
        </w:rPr>
      </w:pPr>
      <w:r w:rsidRPr="00A4399B">
        <w:rPr>
          <w:rStyle w:val="legamendingtext"/>
          <w:rFonts w:ascii="Arial" w:hAnsi="Arial" w:cs="Arial"/>
          <w:sz w:val="23"/>
          <w:szCs w:val="23"/>
        </w:rPr>
        <w:t xml:space="preserve">(b) </w:t>
      </w:r>
      <w:r w:rsidRPr="00A4399B">
        <w:rPr>
          <w:rStyle w:val="legamendingtext"/>
          <w:rFonts w:ascii="Arial" w:hAnsi="Arial" w:cs="Arial"/>
          <w:sz w:val="23"/>
          <w:szCs w:val="23"/>
        </w:rPr>
        <w:tab/>
        <w:t>whether or not to continue to provide accommodation, or arrange for the provision of accommodation, for a person under this section.</w:t>
      </w:r>
    </w:p>
    <w:p w14:paraId="7729A2F4" w14:textId="77777777" w:rsidR="00A928D9" w:rsidRPr="00A4399B" w:rsidRDefault="00A928D9" w:rsidP="006969CC">
      <w:pPr>
        <w:pStyle w:val="legclearfix"/>
        <w:shd w:val="clear" w:color="auto" w:fill="FFFFFF"/>
        <w:spacing w:after="60" w:afterAutospacing="0"/>
        <w:ind w:left="851"/>
        <w:rPr>
          <w:rFonts w:ascii="Arial" w:hAnsi="Arial" w:cs="Arial"/>
          <w:sz w:val="23"/>
          <w:szCs w:val="23"/>
        </w:rPr>
      </w:pPr>
      <w:r w:rsidRPr="00A4399B">
        <w:rPr>
          <w:rStyle w:val="legamendingtext"/>
          <w:rFonts w:ascii="Arial" w:hAnsi="Arial" w:cs="Arial"/>
          <w:sz w:val="23"/>
          <w:szCs w:val="23"/>
        </w:rPr>
        <w:t xml:space="preserve">(6) </w:t>
      </w:r>
      <w:r w:rsidRPr="00A4399B">
        <w:rPr>
          <w:rStyle w:val="legamendingtext"/>
          <w:rFonts w:ascii="Arial" w:hAnsi="Arial" w:cs="Arial"/>
          <w:sz w:val="23"/>
          <w:szCs w:val="23"/>
        </w:rPr>
        <w:tab/>
        <w:t>The regulations may, in particular—</w:t>
      </w:r>
    </w:p>
    <w:p w14:paraId="135D575D" w14:textId="77777777" w:rsidR="00A928D9" w:rsidRPr="00A4399B" w:rsidRDefault="00A928D9" w:rsidP="008852DC">
      <w:pPr>
        <w:pStyle w:val="legclearfix"/>
        <w:shd w:val="clear" w:color="auto" w:fill="FFFFFF"/>
        <w:spacing w:after="60" w:afterAutospacing="0"/>
        <w:ind w:left="1843" w:hanging="425"/>
        <w:rPr>
          <w:rFonts w:ascii="Arial" w:hAnsi="Arial" w:cs="Arial"/>
          <w:sz w:val="23"/>
          <w:szCs w:val="23"/>
        </w:rPr>
      </w:pPr>
      <w:r w:rsidRPr="00A4399B">
        <w:rPr>
          <w:rStyle w:val="legamendingtext"/>
          <w:rFonts w:ascii="Arial" w:hAnsi="Arial" w:cs="Arial"/>
          <w:sz w:val="23"/>
          <w:szCs w:val="23"/>
        </w:rPr>
        <w:t>(a)</w:t>
      </w:r>
      <w:r w:rsidRPr="00A4399B">
        <w:rPr>
          <w:rStyle w:val="legamendingtext"/>
          <w:rFonts w:ascii="Arial" w:hAnsi="Arial" w:cs="Arial"/>
          <w:sz w:val="23"/>
          <w:szCs w:val="23"/>
        </w:rPr>
        <w:tab/>
        <w:t>provide for the continuation of the provision of accommodation for a person to be conditional upon his performance of or participation in community activities in accordance with arrangements made by the Secretary of State;</w:t>
      </w:r>
    </w:p>
    <w:p w14:paraId="7EED53D6" w14:textId="77777777" w:rsidR="00A928D9" w:rsidRPr="00A4399B" w:rsidRDefault="00A928D9" w:rsidP="008852DC">
      <w:pPr>
        <w:pStyle w:val="legclearfix"/>
        <w:shd w:val="clear" w:color="auto" w:fill="FFFFFF"/>
        <w:spacing w:after="60" w:afterAutospacing="0"/>
        <w:ind w:left="1843" w:hanging="425"/>
        <w:rPr>
          <w:rFonts w:ascii="Arial" w:hAnsi="Arial" w:cs="Arial"/>
          <w:sz w:val="23"/>
          <w:szCs w:val="23"/>
        </w:rPr>
      </w:pPr>
      <w:r w:rsidRPr="00A4399B">
        <w:rPr>
          <w:rStyle w:val="legamendingtext"/>
          <w:rFonts w:ascii="Arial" w:hAnsi="Arial" w:cs="Arial"/>
          <w:sz w:val="23"/>
          <w:szCs w:val="23"/>
        </w:rPr>
        <w:t>(b)</w:t>
      </w:r>
      <w:r w:rsidRPr="00A4399B">
        <w:rPr>
          <w:rStyle w:val="legamendingtext"/>
          <w:rFonts w:ascii="Arial" w:hAnsi="Arial" w:cs="Arial"/>
          <w:sz w:val="23"/>
          <w:szCs w:val="23"/>
        </w:rPr>
        <w:tab/>
        <w:t>provide for the continuation of the provision of accommodation to be subject to other conditions;</w:t>
      </w:r>
    </w:p>
    <w:p w14:paraId="345621E5" w14:textId="77777777" w:rsidR="00725521" w:rsidRPr="00A4399B" w:rsidRDefault="00725521" w:rsidP="006969CC">
      <w:pPr>
        <w:ind w:left="851" w:right="45"/>
        <w:jc w:val="both"/>
        <w:rPr>
          <w:rFonts w:ascii="Arial" w:hAnsi="Arial" w:cs="Arial"/>
          <w:sz w:val="22"/>
          <w:szCs w:val="22"/>
        </w:rPr>
      </w:pPr>
    </w:p>
    <w:p w14:paraId="3979BAE8" w14:textId="607C2A06" w:rsidR="003D33CB" w:rsidRDefault="003D33CB" w:rsidP="003D33CB">
      <w:pPr>
        <w:numPr>
          <w:ilvl w:val="0"/>
          <w:numId w:val="3"/>
        </w:numPr>
        <w:tabs>
          <w:tab w:val="num" w:pos="567"/>
        </w:tabs>
        <w:ind w:left="567" w:right="45" w:hanging="567"/>
        <w:jc w:val="both"/>
        <w:rPr>
          <w:rFonts w:ascii="Arial" w:hAnsi="Arial" w:cs="Arial"/>
          <w:sz w:val="22"/>
          <w:szCs w:val="22"/>
        </w:rPr>
      </w:pPr>
      <w:r w:rsidRPr="00A4399B">
        <w:rPr>
          <w:rFonts w:ascii="Arial" w:hAnsi="Arial" w:cs="Arial"/>
          <w:sz w:val="22"/>
          <w:szCs w:val="22"/>
        </w:rPr>
        <w:t>Regulation 3 of the 2005 Regulations, provides:</w:t>
      </w:r>
    </w:p>
    <w:p w14:paraId="166505EB" w14:textId="77777777" w:rsidR="00BA6DE7" w:rsidRPr="00A4399B" w:rsidRDefault="00BA6DE7" w:rsidP="00BA6DE7">
      <w:pPr>
        <w:ind w:left="567" w:right="45"/>
        <w:jc w:val="both"/>
        <w:rPr>
          <w:rFonts w:ascii="Arial" w:hAnsi="Arial" w:cs="Arial"/>
          <w:sz w:val="22"/>
          <w:szCs w:val="22"/>
        </w:rPr>
      </w:pPr>
    </w:p>
    <w:p w14:paraId="4FDF7C24" w14:textId="77777777" w:rsidR="003D33CB" w:rsidRPr="00A4399B" w:rsidRDefault="003D33CB" w:rsidP="003D33CB">
      <w:pPr>
        <w:shd w:val="clear" w:color="auto" w:fill="FFFFFF"/>
        <w:tabs>
          <w:tab w:val="left" w:pos="567"/>
        </w:tabs>
        <w:rPr>
          <w:rFonts w:ascii="Arial" w:hAnsi="Arial" w:cs="Arial"/>
          <w:b/>
          <w:sz w:val="22"/>
          <w:szCs w:val="22"/>
          <w:lang w:val="en"/>
        </w:rPr>
      </w:pPr>
      <w:r w:rsidRPr="00A4399B">
        <w:rPr>
          <w:rFonts w:ascii="Arial" w:hAnsi="Arial" w:cs="Arial"/>
          <w:b/>
          <w:sz w:val="22"/>
          <w:szCs w:val="22"/>
          <w:lang w:val="en"/>
        </w:rPr>
        <w:tab/>
        <w:t>Eligibility for and provision of accommodation to a failed asylum-seeker</w:t>
      </w:r>
    </w:p>
    <w:p w14:paraId="4BAA6225" w14:textId="77777777" w:rsidR="003D33CB" w:rsidRPr="00A4399B" w:rsidRDefault="003D33CB" w:rsidP="003D33CB">
      <w:pPr>
        <w:tabs>
          <w:tab w:val="left" w:pos="567"/>
        </w:tabs>
        <w:autoSpaceDE w:val="0"/>
        <w:autoSpaceDN w:val="0"/>
        <w:adjustRightInd w:val="0"/>
        <w:ind w:left="1080" w:hanging="360"/>
        <w:jc w:val="both"/>
        <w:rPr>
          <w:rFonts w:ascii="Arial" w:hAnsi="Arial" w:cs="Arial"/>
          <w:sz w:val="22"/>
          <w:szCs w:val="22"/>
        </w:rPr>
      </w:pPr>
    </w:p>
    <w:p w14:paraId="628402F3" w14:textId="5B933BB6" w:rsidR="003D33CB" w:rsidRPr="00A4399B" w:rsidRDefault="003D33CB" w:rsidP="00E309F9">
      <w:pPr>
        <w:tabs>
          <w:tab w:val="left" w:pos="1276"/>
        </w:tabs>
        <w:autoSpaceDE w:val="0"/>
        <w:autoSpaceDN w:val="0"/>
        <w:adjustRightInd w:val="0"/>
        <w:ind w:left="1276" w:right="283" w:hanging="567"/>
        <w:rPr>
          <w:rFonts w:ascii="Arial" w:hAnsi="Arial" w:cs="Arial"/>
          <w:bCs/>
          <w:sz w:val="22"/>
          <w:szCs w:val="22"/>
        </w:rPr>
      </w:pPr>
      <w:r w:rsidRPr="00A4399B">
        <w:rPr>
          <w:rFonts w:ascii="Arial" w:hAnsi="Arial" w:cs="Arial"/>
          <w:sz w:val="22"/>
          <w:szCs w:val="22"/>
        </w:rPr>
        <w:t>‘(1)</w:t>
      </w:r>
      <w:r w:rsidRPr="00A4399B">
        <w:rPr>
          <w:rFonts w:ascii="Arial" w:hAnsi="Arial" w:cs="Arial"/>
          <w:sz w:val="22"/>
          <w:szCs w:val="22"/>
        </w:rPr>
        <w:tab/>
        <w:t xml:space="preserve">Subject to regulations 4 and 6, the criteria to be used in determining the matters </w:t>
      </w:r>
      <w:r w:rsidRPr="00A4399B">
        <w:rPr>
          <w:rFonts w:ascii="Arial" w:hAnsi="Arial" w:cs="Arial"/>
          <w:bCs/>
          <w:sz w:val="22"/>
          <w:szCs w:val="22"/>
        </w:rPr>
        <w:t>referred to in paragraphs (a) and (b) of section 4(5) of the 1999 Act in respect of a person falling within section 4(2) or (3) of that Act are-</w:t>
      </w:r>
    </w:p>
    <w:p w14:paraId="7D72187D" w14:textId="77777777" w:rsidR="003D33CB" w:rsidRPr="00A4399B" w:rsidRDefault="003D33CB" w:rsidP="003D33CB">
      <w:pPr>
        <w:tabs>
          <w:tab w:val="left" w:pos="1134"/>
        </w:tabs>
        <w:autoSpaceDE w:val="0"/>
        <w:autoSpaceDN w:val="0"/>
        <w:adjustRightInd w:val="0"/>
        <w:ind w:left="1440" w:right="283" w:hanging="567"/>
        <w:rPr>
          <w:rFonts w:ascii="Arial" w:hAnsi="Arial" w:cs="Arial"/>
          <w:bCs/>
          <w:sz w:val="22"/>
          <w:szCs w:val="22"/>
        </w:rPr>
      </w:pPr>
    </w:p>
    <w:p w14:paraId="1D22690D" w14:textId="07820A7C" w:rsidR="003D33CB" w:rsidRPr="00A4399B" w:rsidRDefault="003D33CB" w:rsidP="00F97F1E">
      <w:pPr>
        <w:tabs>
          <w:tab w:val="left" w:pos="1134"/>
        </w:tabs>
        <w:autoSpaceDE w:val="0"/>
        <w:autoSpaceDN w:val="0"/>
        <w:adjustRightInd w:val="0"/>
        <w:ind w:left="1843" w:right="283" w:hanging="425"/>
        <w:rPr>
          <w:rFonts w:ascii="Arial" w:hAnsi="Arial" w:cs="Arial"/>
          <w:bCs/>
          <w:sz w:val="22"/>
          <w:szCs w:val="22"/>
        </w:rPr>
      </w:pPr>
      <w:r w:rsidRPr="00A4399B">
        <w:rPr>
          <w:rFonts w:ascii="Arial" w:hAnsi="Arial" w:cs="Arial"/>
          <w:sz w:val="22"/>
          <w:szCs w:val="22"/>
        </w:rPr>
        <w:t xml:space="preserve">(a)  </w:t>
      </w:r>
      <w:r w:rsidR="00F97F1E" w:rsidRPr="00A4399B">
        <w:rPr>
          <w:rFonts w:ascii="Arial" w:hAnsi="Arial" w:cs="Arial"/>
          <w:sz w:val="22"/>
          <w:szCs w:val="22"/>
        </w:rPr>
        <w:tab/>
      </w:r>
      <w:r w:rsidRPr="00A4399B">
        <w:rPr>
          <w:rFonts w:ascii="Arial" w:hAnsi="Arial" w:cs="Arial"/>
          <w:sz w:val="22"/>
          <w:szCs w:val="22"/>
        </w:rPr>
        <w:t>that he appears to the Secretary of State to be destitute, and</w:t>
      </w:r>
    </w:p>
    <w:p w14:paraId="4C24D217" w14:textId="22D8F850" w:rsidR="003D33CB" w:rsidRPr="00A4399B" w:rsidRDefault="003D33CB" w:rsidP="00F97F1E">
      <w:pPr>
        <w:tabs>
          <w:tab w:val="left" w:pos="1281"/>
        </w:tabs>
        <w:autoSpaceDE w:val="0"/>
        <w:autoSpaceDN w:val="0"/>
        <w:adjustRightInd w:val="0"/>
        <w:ind w:left="1843" w:right="283" w:hanging="425"/>
        <w:rPr>
          <w:rFonts w:ascii="Arial" w:hAnsi="Arial" w:cs="Arial"/>
          <w:bCs/>
          <w:sz w:val="22"/>
          <w:szCs w:val="22"/>
        </w:rPr>
      </w:pPr>
      <w:r w:rsidRPr="00A4399B">
        <w:rPr>
          <w:rFonts w:ascii="Arial" w:hAnsi="Arial" w:cs="Arial"/>
          <w:bCs/>
          <w:sz w:val="22"/>
          <w:szCs w:val="22"/>
        </w:rPr>
        <w:t xml:space="preserve">(b)  </w:t>
      </w:r>
      <w:r w:rsidR="00F97F1E" w:rsidRPr="00A4399B">
        <w:rPr>
          <w:rFonts w:ascii="Arial" w:hAnsi="Arial" w:cs="Arial"/>
          <w:bCs/>
          <w:sz w:val="22"/>
          <w:szCs w:val="22"/>
        </w:rPr>
        <w:tab/>
      </w:r>
      <w:r w:rsidRPr="00A4399B">
        <w:rPr>
          <w:rFonts w:ascii="Arial" w:hAnsi="Arial" w:cs="Arial"/>
          <w:sz w:val="22"/>
          <w:szCs w:val="22"/>
        </w:rPr>
        <w:t>that one or more of the conditions set out in paragraph (2) are satisfied in relation to him.</w:t>
      </w:r>
    </w:p>
    <w:p w14:paraId="3B9CA94D" w14:textId="77777777" w:rsidR="003D33CB" w:rsidRPr="00A4399B" w:rsidRDefault="003D33CB" w:rsidP="00E309F9">
      <w:pPr>
        <w:tabs>
          <w:tab w:val="left" w:pos="1281"/>
        </w:tabs>
        <w:autoSpaceDE w:val="0"/>
        <w:autoSpaceDN w:val="0"/>
        <w:adjustRightInd w:val="0"/>
        <w:ind w:left="1985" w:right="283" w:hanging="567"/>
        <w:jc w:val="both"/>
        <w:rPr>
          <w:rFonts w:ascii="Arial" w:hAnsi="Arial" w:cs="Arial"/>
          <w:sz w:val="22"/>
          <w:szCs w:val="22"/>
        </w:rPr>
      </w:pPr>
    </w:p>
    <w:p w14:paraId="0417CCDD" w14:textId="77777777" w:rsidR="003D33CB" w:rsidRPr="00A4399B" w:rsidRDefault="003D33CB" w:rsidP="003D33CB">
      <w:pPr>
        <w:tabs>
          <w:tab w:val="left" w:pos="1134"/>
          <w:tab w:val="left" w:pos="1260"/>
        </w:tabs>
        <w:autoSpaceDE w:val="0"/>
        <w:autoSpaceDN w:val="0"/>
        <w:adjustRightInd w:val="0"/>
        <w:ind w:left="1260" w:hanging="567"/>
        <w:rPr>
          <w:rFonts w:ascii="Arial" w:hAnsi="Arial" w:cs="Arial"/>
          <w:sz w:val="22"/>
          <w:szCs w:val="22"/>
          <w:lang w:val="en"/>
        </w:rPr>
      </w:pPr>
      <w:r w:rsidRPr="00A4399B">
        <w:rPr>
          <w:rFonts w:ascii="Arial" w:hAnsi="Arial" w:cs="Arial"/>
          <w:sz w:val="22"/>
          <w:szCs w:val="22"/>
        </w:rPr>
        <w:t xml:space="preserve">  (2)  Those conditions are that</w:t>
      </w:r>
      <w:r w:rsidRPr="00A4399B">
        <w:rPr>
          <w:rFonts w:ascii="Arial" w:hAnsi="Arial" w:cs="Arial"/>
          <w:sz w:val="22"/>
          <w:szCs w:val="22"/>
          <w:lang w:val="en"/>
        </w:rPr>
        <w:t>—</w:t>
      </w:r>
    </w:p>
    <w:p w14:paraId="201ADE41" w14:textId="77777777" w:rsidR="003D33CB" w:rsidRPr="00A4399B" w:rsidRDefault="003D33CB" w:rsidP="003D33CB">
      <w:pPr>
        <w:tabs>
          <w:tab w:val="left" w:pos="1080"/>
          <w:tab w:val="left" w:pos="1134"/>
          <w:tab w:val="left" w:pos="1260"/>
        </w:tabs>
        <w:autoSpaceDE w:val="0"/>
        <w:autoSpaceDN w:val="0"/>
        <w:adjustRightInd w:val="0"/>
        <w:ind w:left="1260" w:hanging="567"/>
        <w:rPr>
          <w:rFonts w:ascii="Arial" w:hAnsi="Arial" w:cs="Arial"/>
          <w:sz w:val="22"/>
          <w:szCs w:val="22"/>
        </w:rPr>
      </w:pPr>
    </w:p>
    <w:p w14:paraId="41CD1E48" w14:textId="77777777" w:rsidR="003D33CB" w:rsidRPr="00A4399B" w:rsidRDefault="003D33CB" w:rsidP="00337C20">
      <w:pPr>
        <w:widowControl w:val="0"/>
        <w:numPr>
          <w:ilvl w:val="0"/>
          <w:numId w:val="21"/>
        </w:numPr>
        <w:tabs>
          <w:tab w:val="left" w:pos="1134"/>
        </w:tabs>
        <w:autoSpaceDE w:val="0"/>
        <w:autoSpaceDN w:val="0"/>
        <w:adjustRightInd w:val="0"/>
        <w:spacing w:after="240"/>
        <w:ind w:left="1701" w:right="567" w:hanging="425"/>
        <w:jc w:val="both"/>
        <w:rPr>
          <w:rFonts w:ascii="Arial" w:hAnsi="Arial" w:cs="Arial"/>
          <w:sz w:val="22"/>
          <w:szCs w:val="22"/>
        </w:rPr>
      </w:pPr>
      <w:r w:rsidRPr="00A4399B">
        <w:rPr>
          <w:rFonts w:ascii="Arial" w:hAnsi="Arial" w:cs="Arial"/>
          <w:sz w:val="22"/>
          <w:szCs w:val="22"/>
        </w:rPr>
        <w:t>he is taking all reasonable steps to leave the United Kingdom or place himself in a position in which he is able to leave the United Kingdom, which may include complying with attempts to obtain a travel document to facilitate his departure;</w:t>
      </w:r>
    </w:p>
    <w:p w14:paraId="750F929C" w14:textId="77777777" w:rsidR="003D33CB" w:rsidRPr="00A4399B" w:rsidRDefault="003D33CB" w:rsidP="00337C20">
      <w:pPr>
        <w:widowControl w:val="0"/>
        <w:tabs>
          <w:tab w:val="left" w:pos="1134"/>
        </w:tabs>
        <w:autoSpaceDE w:val="0"/>
        <w:autoSpaceDN w:val="0"/>
        <w:adjustRightInd w:val="0"/>
        <w:spacing w:after="240"/>
        <w:ind w:left="1701" w:right="567" w:hanging="425"/>
        <w:jc w:val="both"/>
        <w:rPr>
          <w:rFonts w:ascii="Arial" w:hAnsi="Arial" w:cs="Arial"/>
          <w:sz w:val="22"/>
          <w:szCs w:val="22"/>
        </w:rPr>
      </w:pPr>
      <w:r w:rsidRPr="00A4399B">
        <w:rPr>
          <w:rFonts w:ascii="Arial" w:hAnsi="Arial" w:cs="Arial"/>
          <w:sz w:val="22"/>
          <w:szCs w:val="22"/>
        </w:rPr>
        <w:t>b)</w:t>
      </w:r>
      <w:r w:rsidRPr="00A4399B">
        <w:rPr>
          <w:rFonts w:ascii="Arial" w:hAnsi="Arial" w:cs="Arial"/>
          <w:sz w:val="22"/>
          <w:szCs w:val="22"/>
        </w:rPr>
        <w:tab/>
        <w:t>he is unable to leave the United Kingdom by reason of a physical impediment to travel or for some other medical reason;</w:t>
      </w:r>
    </w:p>
    <w:p w14:paraId="71785E6F" w14:textId="77777777" w:rsidR="003D33CB" w:rsidRPr="00A4399B" w:rsidRDefault="003D33CB" w:rsidP="00337C20">
      <w:pPr>
        <w:widowControl w:val="0"/>
        <w:autoSpaceDE w:val="0"/>
        <w:autoSpaceDN w:val="0"/>
        <w:adjustRightInd w:val="0"/>
        <w:spacing w:after="240"/>
        <w:ind w:left="1701" w:right="567" w:hanging="425"/>
        <w:jc w:val="both"/>
        <w:rPr>
          <w:rFonts w:ascii="Arial" w:hAnsi="Arial" w:cs="Arial"/>
          <w:sz w:val="22"/>
          <w:szCs w:val="22"/>
        </w:rPr>
      </w:pPr>
      <w:r w:rsidRPr="00A4399B">
        <w:rPr>
          <w:rFonts w:ascii="Arial" w:hAnsi="Arial" w:cs="Arial"/>
          <w:sz w:val="22"/>
          <w:szCs w:val="22"/>
        </w:rPr>
        <w:t>c)</w:t>
      </w:r>
      <w:r w:rsidRPr="00A4399B">
        <w:rPr>
          <w:rFonts w:ascii="Arial" w:hAnsi="Arial" w:cs="Arial"/>
          <w:sz w:val="22"/>
          <w:szCs w:val="22"/>
        </w:rPr>
        <w:tab/>
        <w:t>he is unable to leave the United Kingdom because in the opinion of the Secretary of State there is currently no viable route of return available;</w:t>
      </w:r>
    </w:p>
    <w:p w14:paraId="31CBBA97" w14:textId="77777777" w:rsidR="003D33CB" w:rsidRPr="00A4399B" w:rsidRDefault="003D33CB" w:rsidP="00337C20">
      <w:pPr>
        <w:widowControl w:val="0"/>
        <w:autoSpaceDE w:val="0"/>
        <w:autoSpaceDN w:val="0"/>
        <w:adjustRightInd w:val="0"/>
        <w:spacing w:after="240"/>
        <w:ind w:left="1701" w:right="567" w:hanging="425"/>
        <w:jc w:val="both"/>
        <w:rPr>
          <w:rFonts w:ascii="Arial" w:hAnsi="Arial" w:cs="Arial"/>
          <w:sz w:val="22"/>
          <w:szCs w:val="22"/>
        </w:rPr>
      </w:pPr>
      <w:r w:rsidRPr="00A4399B">
        <w:rPr>
          <w:rFonts w:ascii="Arial" w:hAnsi="Arial" w:cs="Arial"/>
          <w:sz w:val="22"/>
          <w:szCs w:val="22"/>
        </w:rPr>
        <w:t>d)</w:t>
      </w:r>
      <w:r w:rsidRPr="00A4399B">
        <w:rPr>
          <w:rFonts w:ascii="Arial" w:hAnsi="Arial" w:cs="Arial"/>
          <w:sz w:val="22"/>
          <w:szCs w:val="22"/>
        </w:rPr>
        <w:tab/>
        <w:t>he has made an application for judicial review of a decision in relation to his asylum claim –</w:t>
      </w:r>
    </w:p>
    <w:p w14:paraId="2D0E4303" w14:textId="77777777" w:rsidR="002D5120" w:rsidRDefault="003D33CB" w:rsidP="002D5120">
      <w:pPr>
        <w:widowControl w:val="0"/>
        <w:autoSpaceDE w:val="0"/>
        <w:autoSpaceDN w:val="0"/>
        <w:adjustRightInd w:val="0"/>
        <w:ind w:left="2268" w:right="567" w:hanging="426"/>
        <w:jc w:val="both"/>
        <w:rPr>
          <w:rFonts w:ascii="Arial" w:hAnsi="Arial" w:cs="Arial"/>
          <w:sz w:val="22"/>
          <w:szCs w:val="22"/>
        </w:rPr>
      </w:pPr>
      <w:r w:rsidRPr="00A4399B">
        <w:rPr>
          <w:rFonts w:ascii="Arial" w:hAnsi="Arial" w:cs="Arial"/>
          <w:sz w:val="22"/>
          <w:szCs w:val="22"/>
        </w:rPr>
        <w:t>(i)</w:t>
      </w:r>
      <w:r w:rsidRPr="00A4399B">
        <w:rPr>
          <w:rFonts w:ascii="Arial" w:hAnsi="Arial" w:cs="Arial"/>
          <w:sz w:val="22"/>
          <w:szCs w:val="22"/>
        </w:rPr>
        <w:tab/>
        <w:t>in England and Wales, and has been granted permission to proceed pursuant to Part 54 of the Civil Procedure Rules 1998</w:t>
      </w:r>
      <w:bookmarkStart w:id="9" w:name="n8"/>
      <w:bookmarkEnd w:id="9"/>
      <w:r w:rsidRPr="00A4399B">
        <w:rPr>
          <w:rFonts w:ascii="Arial" w:hAnsi="Arial" w:cs="Arial"/>
          <w:sz w:val="22"/>
          <w:szCs w:val="22"/>
        </w:rPr>
        <w:t>,</w:t>
      </w:r>
    </w:p>
    <w:p w14:paraId="02739A15" w14:textId="4F7DED87" w:rsidR="003D33CB" w:rsidRPr="00A4399B" w:rsidRDefault="003D33CB" w:rsidP="002D5120">
      <w:pPr>
        <w:widowControl w:val="0"/>
        <w:autoSpaceDE w:val="0"/>
        <w:autoSpaceDN w:val="0"/>
        <w:adjustRightInd w:val="0"/>
        <w:ind w:left="2268" w:right="567" w:hanging="426"/>
        <w:jc w:val="both"/>
        <w:rPr>
          <w:rFonts w:ascii="Arial" w:hAnsi="Arial" w:cs="Arial"/>
          <w:sz w:val="22"/>
          <w:szCs w:val="22"/>
        </w:rPr>
      </w:pPr>
      <w:r w:rsidRPr="00A4399B">
        <w:rPr>
          <w:rFonts w:ascii="Arial" w:hAnsi="Arial" w:cs="Arial"/>
          <w:sz w:val="22"/>
          <w:szCs w:val="22"/>
        </w:rPr>
        <w:t xml:space="preserve">(ii) </w:t>
      </w:r>
      <w:r w:rsidRPr="00A4399B">
        <w:rPr>
          <w:rFonts w:ascii="Arial" w:hAnsi="Arial" w:cs="Arial"/>
          <w:sz w:val="22"/>
          <w:szCs w:val="22"/>
        </w:rPr>
        <w:tab/>
        <w:t>in Scotland, pursuant to Chapter 58 of the Rules of the Court of Session 1994</w:t>
      </w:r>
      <w:bookmarkStart w:id="10" w:name="n9"/>
      <w:bookmarkEnd w:id="10"/>
      <w:r w:rsidRPr="00A4399B">
        <w:rPr>
          <w:rFonts w:ascii="Arial" w:hAnsi="Arial" w:cs="Arial"/>
          <w:sz w:val="22"/>
          <w:szCs w:val="22"/>
        </w:rPr>
        <w:t xml:space="preserve"> or</w:t>
      </w:r>
    </w:p>
    <w:p w14:paraId="27EAC26A" w14:textId="77777777" w:rsidR="003D33CB" w:rsidRPr="00A4399B" w:rsidRDefault="003D33CB" w:rsidP="002D5120">
      <w:pPr>
        <w:widowControl w:val="0"/>
        <w:autoSpaceDE w:val="0"/>
        <w:autoSpaceDN w:val="0"/>
        <w:adjustRightInd w:val="0"/>
        <w:ind w:left="2268" w:right="567" w:hanging="426"/>
        <w:jc w:val="both"/>
        <w:rPr>
          <w:rFonts w:ascii="Arial" w:hAnsi="Arial" w:cs="Arial"/>
          <w:sz w:val="22"/>
          <w:szCs w:val="22"/>
        </w:rPr>
      </w:pPr>
      <w:r w:rsidRPr="00A4399B">
        <w:rPr>
          <w:rFonts w:ascii="Arial" w:hAnsi="Arial" w:cs="Arial"/>
          <w:sz w:val="22"/>
          <w:szCs w:val="22"/>
        </w:rPr>
        <w:t>(iii)</w:t>
      </w:r>
      <w:r w:rsidRPr="00A4399B">
        <w:rPr>
          <w:rFonts w:ascii="Arial" w:hAnsi="Arial" w:cs="Arial"/>
          <w:sz w:val="22"/>
          <w:szCs w:val="22"/>
        </w:rPr>
        <w:tab/>
        <w:t xml:space="preserve"> in Northern Ireland, and has been granted leave pursuant to Order 53 of the Rules of Supreme Court (Northern Ireland) 1980</w:t>
      </w:r>
      <w:bookmarkStart w:id="11" w:name="n10"/>
      <w:bookmarkEnd w:id="11"/>
      <w:r w:rsidRPr="00A4399B">
        <w:rPr>
          <w:rFonts w:ascii="Arial" w:hAnsi="Arial" w:cs="Arial"/>
          <w:sz w:val="22"/>
          <w:szCs w:val="22"/>
        </w:rPr>
        <w:t>; or</w:t>
      </w:r>
    </w:p>
    <w:p w14:paraId="74312B7B" w14:textId="77777777" w:rsidR="003D33CB" w:rsidRPr="00A4399B" w:rsidRDefault="003D33CB" w:rsidP="00337C20">
      <w:pPr>
        <w:widowControl w:val="0"/>
        <w:tabs>
          <w:tab w:val="left" w:pos="1418"/>
        </w:tabs>
        <w:autoSpaceDE w:val="0"/>
        <w:autoSpaceDN w:val="0"/>
        <w:adjustRightInd w:val="0"/>
        <w:spacing w:before="100" w:after="100"/>
        <w:ind w:left="1701" w:right="567" w:hanging="425"/>
        <w:jc w:val="both"/>
        <w:rPr>
          <w:rFonts w:ascii="Arial" w:hAnsi="Arial" w:cs="Arial"/>
          <w:sz w:val="22"/>
          <w:szCs w:val="22"/>
        </w:rPr>
      </w:pPr>
      <w:bookmarkStart w:id="12" w:name="_Hlk54361598"/>
      <w:r w:rsidRPr="00A4399B">
        <w:rPr>
          <w:rFonts w:ascii="Arial" w:hAnsi="Arial" w:cs="Arial"/>
          <w:sz w:val="22"/>
          <w:szCs w:val="22"/>
        </w:rPr>
        <w:t>e)</w:t>
      </w:r>
      <w:r w:rsidRPr="00A4399B">
        <w:rPr>
          <w:rFonts w:ascii="Arial" w:hAnsi="Arial" w:cs="Arial"/>
          <w:sz w:val="22"/>
          <w:szCs w:val="22"/>
        </w:rPr>
        <w:tab/>
        <w:t>the provision of accommodation is necessary for the purpose of avoiding a breach of a person's Convention rights, within the meaning of the Human Rights Act 1998</w:t>
      </w:r>
      <w:bookmarkStart w:id="13" w:name="n11"/>
      <w:bookmarkEnd w:id="13"/>
      <w:r w:rsidRPr="00A4399B">
        <w:rPr>
          <w:rFonts w:ascii="Arial" w:hAnsi="Arial" w:cs="Arial"/>
          <w:sz w:val="22"/>
          <w:szCs w:val="22"/>
        </w:rPr>
        <w:t>.</w:t>
      </w:r>
    </w:p>
    <w:bookmarkEnd w:id="12"/>
    <w:p w14:paraId="1D5E0FC3" w14:textId="77777777" w:rsidR="003D33CB" w:rsidRPr="00A4399B" w:rsidRDefault="003D33CB" w:rsidP="003D33CB">
      <w:pPr>
        <w:shd w:val="clear" w:color="auto" w:fill="FFFFFF"/>
        <w:tabs>
          <w:tab w:val="left" w:pos="1418"/>
        </w:tabs>
        <w:ind w:left="1800" w:hanging="567"/>
        <w:rPr>
          <w:rFonts w:ascii="Arial" w:hAnsi="Arial" w:cs="Arial"/>
          <w:sz w:val="22"/>
          <w:szCs w:val="22"/>
          <w:lang w:val="en"/>
        </w:rPr>
      </w:pPr>
    </w:p>
    <w:p w14:paraId="3C8F6BE7" w14:textId="77777777" w:rsidR="003D33CB" w:rsidRPr="00A4399B" w:rsidRDefault="003D33CB" w:rsidP="003D33CB">
      <w:pPr>
        <w:numPr>
          <w:ilvl w:val="0"/>
          <w:numId w:val="3"/>
        </w:numPr>
        <w:tabs>
          <w:tab w:val="num" w:pos="567"/>
        </w:tabs>
        <w:ind w:left="0" w:right="45" w:firstLine="0"/>
        <w:jc w:val="both"/>
        <w:rPr>
          <w:rFonts w:ascii="Arial" w:hAnsi="Arial" w:cs="Arial"/>
          <w:sz w:val="22"/>
          <w:szCs w:val="22"/>
        </w:rPr>
      </w:pPr>
      <w:r w:rsidRPr="00A4399B">
        <w:rPr>
          <w:rFonts w:ascii="Arial" w:hAnsi="Arial" w:cs="Arial"/>
          <w:sz w:val="22"/>
          <w:szCs w:val="22"/>
        </w:rPr>
        <w:t>Article 2 of the European Convention on Human rights (ECHR) which protects right to life, provides as follows:</w:t>
      </w:r>
    </w:p>
    <w:p w14:paraId="652B625E" w14:textId="77777777" w:rsidR="003D33CB" w:rsidRPr="00A4399B" w:rsidRDefault="003D33CB" w:rsidP="003D33CB">
      <w:pPr>
        <w:ind w:right="45"/>
        <w:rPr>
          <w:rFonts w:ascii="Arial" w:hAnsi="Arial" w:cs="Arial"/>
          <w:b/>
          <w:sz w:val="22"/>
          <w:szCs w:val="22"/>
        </w:rPr>
      </w:pPr>
    </w:p>
    <w:p w14:paraId="4C69AE1A" w14:textId="536A18E6" w:rsidR="003D33CB" w:rsidRPr="00A4399B" w:rsidRDefault="003D33CB" w:rsidP="000E6808">
      <w:pPr>
        <w:ind w:left="1701" w:right="567" w:hanging="567"/>
        <w:jc w:val="both"/>
        <w:rPr>
          <w:rFonts w:ascii="Arial" w:hAnsi="Arial" w:cs="Arial"/>
          <w:sz w:val="22"/>
          <w:szCs w:val="22"/>
        </w:rPr>
      </w:pPr>
      <w:r w:rsidRPr="00A4399B">
        <w:rPr>
          <w:rFonts w:ascii="Arial" w:hAnsi="Arial" w:cs="Arial"/>
          <w:sz w:val="22"/>
          <w:szCs w:val="22"/>
        </w:rPr>
        <w:t xml:space="preserve">1) </w:t>
      </w:r>
      <w:r w:rsidRPr="00A4399B">
        <w:rPr>
          <w:rFonts w:ascii="Arial" w:hAnsi="Arial" w:cs="Arial"/>
          <w:sz w:val="22"/>
          <w:szCs w:val="22"/>
        </w:rPr>
        <w:tab/>
        <w:t>Everyone’s right to life shall be protected by law. No one shall be deprived of his life intentionally save in the execution of a sentence of a court following his conviction of a crime for which this penalty is provided by law.</w:t>
      </w:r>
    </w:p>
    <w:p w14:paraId="0D490240" w14:textId="77777777" w:rsidR="003D33CB" w:rsidRPr="00A4399B" w:rsidRDefault="003D33CB" w:rsidP="000E6808">
      <w:pPr>
        <w:ind w:left="1701" w:right="567" w:hanging="567"/>
        <w:jc w:val="both"/>
        <w:rPr>
          <w:rFonts w:ascii="Arial" w:hAnsi="Arial" w:cs="Arial"/>
          <w:sz w:val="22"/>
          <w:szCs w:val="22"/>
        </w:rPr>
      </w:pPr>
    </w:p>
    <w:p w14:paraId="44E80CD1" w14:textId="4D9E2A18" w:rsidR="003D33CB" w:rsidRDefault="003D33CB" w:rsidP="000E6808">
      <w:pPr>
        <w:ind w:left="1701" w:right="567" w:hanging="567"/>
        <w:jc w:val="both"/>
        <w:rPr>
          <w:rFonts w:ascii="Arial" w:hAnsi="Arial" w:cs="Arial"/>
          <w:sz w:val="22"/>
          <w:szCs w:val="22"/>
        </w:rPr>
      </w:pPr>
      <w:r w:rsidRPr="00A4399B">
        <w:rPr>
          <w:rFonts w:ascii="Arial" w:hAnsi="Arial" w:cs="Arial"/>
          <w:sz w:val="22"/>
          <w:szCs w:val="22"/>
        </w:rPr>
        <w:t>2)</w:t>
      </w:r>
      <w:r w:rsidRPr="00A4399B">
        <w:rPr>
          <w:rFonts w:ascii="Arial" w:hAnsi="Arial" w:cs="Arial"/>
          <w:sz w:val="22"/>
          <w:szCs w:val="22"/>
        </w:rPr>
        <w:tab/>
        <w:t>Deprivation of life shall not be regarded as inflicted in contravention of this Article when it results from the use of force which is no more than absolutely necessary:</w:t>
      </w:r>
    </w:p>
    <w:p w14:paraId="47C1AE43" w14:textId="77777777" w:rsidR="002D5120" w:rsidRPr="00A4399B" w:rsidRDefault="002D5120" w:rsidP="000E6808">
      <w:pPr>
        <w:ind w:left="1701" w:right="567" w:hanging="567"/>
        <w:jc w:val="both"/>
        <w:rPr>
          <w:rFonts w:ascii="Arial" w:hAnsi="Arial" w:cs="Arial"/>
          <w:sz w:val="22"/>
          <w:szCs w:val="22"/>
        </w:rPr>
      </w:pPr>
    </w:p>
    <w:p w14:paraId="69F8411A" w14:textId="77777777" w:rsidR="003D33CB" w:rsidRPr="00A4399B" w:rsidRDefault="003D33CB" w:rsidP="00EF5541">
      <w:pPr>
        <w:tabs>
          <w:tab w:val="left" w:pos="2552"/>
        </w:tabs>
        <w:ind w:left="2552" w:right="283" w:hanging="567"/>
        <w:jc w:val="both"/>
        <w:rPr>
          <w:rFonts w:ascii="Arial" w:hAnsi="Arial" w:cs="Arial"/>
          <w:sz w:val="22"/>
          <w:szCs w:val="22"/>
        </w:rPr>
      </w:pPr>
      <w:r w:rsidRPr="00A4399B">
        <w:rPr>
          <w:rFonts w:ascii="Arial" w:hAnsi="Arial" w:cs="Arial"/>
          <w:sz w:val="22"/>
          <w:szCs w:val="22"/>
        </w:rPr>
        <w:t>(a)</w:t>
      </w:r>
      <w:r w:rsidRPr="00A4399B">
        <w:rPr>
          <w:rFonts w:ascii="Arial" w:hAnsi="Arial" w:cs="Arial"/>
          <w:sz w:val="22"/>
          <w:szCs w:val="22"/>
        </w:rPr>
        <w:tab/>
        <w:t>in defence of any person from unlawful violence;</w:t>
      </w:r>
    </w:p>
    <w:p w14:paraId="73E67921" w14:textId="77777777" w:rsidR="003D33CB" w:rsidRPr="00A4399B" w:rsidRDefault="003D33CB" w:rsidP="00EF5541">
      <w:pPr>
        <w:tabs>
          <w:tab w:val="left" w:pos="2552"/>
        </w:tabs>
        <w:ind w:left="2552" w:right="283" w:hanging="567"/>
        <w:jc w:val="both"/>
        <w:rPr>
          <w:rFonts w:ascii="Arial" w:hAnsi="Arial" w:cs="Arial"/>
          <w:sz w:val="22"/>
          <w:szCs w:val="22"/>
        </w:rPr>
      </w:pPr>
      <w:r w:rsidRPr="00A4399B">
        <w:rPr>
          <w:rFonts w:ascii="Arial" w:hAnsi="Arial" w:cs="Arial"/>
          <w:sz w:val="22"/>
          <w:szCs w:val="22"/>
        </w:rPr>
        <w:t xml:space="preserve">(b) </w:t>
      </w:r>
      <w:r w:rsidRPr="00A4399B">
        <w:rPr>
          <w:rFonts w:ascii="Arial" w:hAnsi="Arial" w:cs="Arial"/>
          <w:sz w:val="22"/>
          <w:szCs w:val="22"/>
        </w:rPr>
        <w:tab/>
        <w:t>in order to effect a lawful arrest or to prevent the escape of a person lawfully detained;</w:t>
      </w:r>
    </w:p>
    <w:p w14:paraId="6BC1DC66" w14:textId="77777777" w:rsidR="003D33CB" w:rsidRPr="00A4399B" w:rsidRDefault="003D33CB" w:rsidP="00EF5541">
      <w:pPr>
        <w:tabs>
          <w:tab w:val="left" w:pos="2552"/>
        </w:tabs>
        <w:ind w:left="2552" w:right="283" w:hanging="567"/>
        <w:jc w:val="both"/>
        <w:rPr>
          <w:rFonts w:ascii="Arial" w:hAnsi="Arial" w:cs="Arial"/>
          <w:sz w:val="22"/>
          <w:szCs w:val="22"/>
        </w:rPr>
      </w:pPr>
      <w:r w:rsidRPr="00A4399B">
        <w:rPr>
          <w:rFonts w:ascii="Arial" w:hAnsi="Arial" w:cs="Arial"/>
          <w:sz w:val="22"/>
          <w:szCs w:val="22"/>
        </w:rPr>
        <w:t xml:space="preserve">(c) </w:t>
      </w:r>
      <w:r w:rsidRPr="00A4399B">
        <w:rPr>
          <w:rFonts w:ascii="Arial" w:hAnsi="Arial" w:cs="Arial"/>
          <w:sz w:val="22"/>
          <w:szCs w:val="22"/>
        </w:rPr>
        <w:tab/>
        <w:t>in action lawfully taken for the purpose of quelling a riot or insurrection.</w:t>
      </w:r>
    </w:p>
    <w:p w14:paraId="03B88F0A" w14:textId="77777777" w:rsidR="003D33CB" w:rsidRPr="00A4399B" w:rsidRDefault="003D33CB" w:rsidP="003D33CB">
      <w:pPr>
        <w:numPr>
          <w:ilvl w:val="0"/>
          <w:numId w:val="3"/>
        </w:numPr>
        <w:tabs>
          <w:tab w:val="num" w:pos="567"/>
        </w:tabs>
        <w:ind w:left="0" w:right="45" w:firstLine="0"/>
        <w:jc w:val="both"/>
        <w:rPr>
          <w:rFonts w:ascii="Arial" w:hAnsi="Arial" w:cs="Arial"/>
          <w:sz w:val="22"/>
          <w:szCs w:val="22"/>
        </w:rPr>
      </w:pPr>
      <w:r w:rsidRPr="00A4399B">
        <w:rPr>
          <w:rFonts w:ascii="Arial" w:hAnsi="Arial" w:cs="Arial"/>
          <w:sz w:val="22"/>
          <w:szCs w:val="22"/>
        </w:rPr>
        <w:t>Article 3 ECHR, which deals with prohibition of torture, provides that no one shall be subjected to torture or to inhuman or degrading treatment or punishment.</w:t>
      </w:r>
    </w:p>
    <w:p w14:paraId="5A54341E" w14:textId="77777777" w:rsidR="003D33CB" w:rsidRPr="00A4399B" w:rsidRDefault="003D33CB" w:rsidP="003D33CB">
      <w:pPr>
        <w:tabs>
          <w:tab w:val="num" w:pos="567"/>
        </w:tabs>
        <w:ind w:left="360"/>
        <w:jc w:val="both"/>
        <w:rPr>
          <w:rFonts w:ascii="Arial" w:hAnsi="Arial" w:cs="Arial"/>
          <w:sz w:val="22"/>
          <w:szCs w:val="22"/>
        </w:rPr>
      </w:pPr>
    </w:p>
    <w:p w14:paraId="6B6059A8" w14:textId="1425B838" w:rsidR="003D33CB" w:rsidRPr="00A4399B" w:rsidRDefault="003D33CB" w:rsidP="003D33CB">
      <w:pPr>
        <w:numPr>
          <w:ilvl w:val="0"/>
          <w:numId w:val="3"/>
        </w:numPr>
        <w:tabs>
          <w:tab w:val="num" w:pos="567"/>
        </w:tabs>
        <w:ind w:left="567" w:hanging="567"/>
        <w:jc w:val="both"/>
        <w:rPr>
          <w:rFonts w:ascii="Arial" w:hAnsi="Arial" w:cs="Arial"/>
          <w:sz w:val="22"/>
          <w:szCs w:val="22"/>
        </w:rPr>
      </w:pPr>
      <w:bookmarkStart w:id="14" w:name="_Hlk54200774"/>
      <w:r w:rsidRPr="00A4399B">
        <w:rPr>
          <w:rFonts w:ascii="Arial" w:hAnsi="Arial" w:cs="Arial"/>
          <w:sz w:val="22"/>
          <w:szCs w:val="22"/>
        </w:rPr>
        <w:t>Article 8 ECHR provides as follows:</w:t>
      </w:r>
    </w:p>
    <w:p w14:paraId="58F9E8E5" w14:textId="2827088F" w:rsidR="00A60579" w:rsidRPr="00A4399B" w:rsidRDefault="00A60579" w:rsidP="000E6808">
      <w:pPr>
        <w:pStyle w:val="ListParagraph"/>
        <w:spacing w:before="100" w:beforeAutospacing="1" w:after="100" w:afterAutospacing="1"/>
        <w:ind w:left="1701" w:right="283" w:hanging="567"/>
        <w:jc w:val="both"/>
        <w:rPr>
          <w:rFonts w:ascii="Arial" w:hAnsi="Arial" w:cs="Arial"/>
          <w:sz w:val="22"/>
          <w:szCs w:val="22"/>
        </w:rPr>
      </w:pPr>
      <w:r w:rsidRPr="00A4399B">
        <w:rPr>
          <w:rFonts w:ascii="Arial" w:hAnsi="Arial" w:cs="Arial"/>
          <w:sz w:val="22"/>
          <w:szCs w:val="22"/>
        </w:rPr>
        <w:t xml:space="preserve">1) </w:t>
      </w:r>
      <w:r w:rsidR="000E6808" w:rsidRPr="00A4399B">
        <w:rPr>
          <w:rFonts w:ascii="Arial" w:hAnsi="Arial" w:cs="Arial"/>
          <w:sz w:val="22"/>
          <w:szCs w:val="22"/>
        </w:rPr>
        <w:tab/>
      </w:r>
      <w:r w:rsidRPr="00A4399B">
        <w:rPr>
          <w:rFonts w:ascii="Arial" w:hAnsi="Arial" w:cs="Arial"/>
          <w:sz w:val="22"/>
          <w:szCs w:val="22"/>
        </w:rPr>
        <w:t>Everyone has the right to respect for his private and family life, his home and his correspondence.</w:t>
      </w:r>
    </w:p>
    <w:p w14:paraId="06687AFA" w14:textId="58551C7E" w:rsidR="00A60579" w:rsidRPr="00A4399B" w:rsidRDefault="00A60579" w:rsidP="000E6808">
      <w:pPr>
        <w:pStyle w:val="ListParagraph"/>
        <w:ind w:left="1701" w:right="283" w:hanging="567"/>
        <w:jc w:val="both"/>
        <w:rPr>
          <w:rFonts w:ascii="Arial" w:hAnsi="Arial" w:cs="Arial"/>
          <w:sz w:val="22"/>
          <w:szCs w:val="22"/>
        </w:rPr>
      </w:pPr>
      <w:r w:rsidRPr="00A4399B">
        <w:rPr>
          <w:rFonts w:ascii="Arial" w:hAnsi="Arial" w:cs="Arial"/>
          <w:sz w:val="22"/>
          <w:szCs w:val="22"/>
        </w:rPr>
        <w:t xml:space="preserve">2) </w:t>
      </w:r>
      <w:r w:rsidR="000E6808" w:rsidRPr="00A4399B">
        <w:rPr>
          <w:rFonts w:ascii="Arial" w:hAnsi="Arial" w:cs="Arial"/>
          <w:sz w:val="22"/>
          <w:szCs w:val="22"/>
        </w:rPr>
        <w:tab/>
      </w:r>
      <w:r w:rsidRPr="00A4399B">
        <w:rPr>
          <w:rFonts w:ascii="Arial" w:hAnsi="Arial" w:cs="Arial"/>
          <w:sz w:val="22"/>
          <w:szCs w:val="22"/>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5432E31E" w14:textId="77777777" w:rsidR="000E6808" w:rsidRPr="00A4399B" w:rsidRDefault="000E6808" w:rsidP="000E6808">
      <w:pPr>
        <w:pStyle w:val="ListParagraph"/>
        <w:ind w:left="1701" w:right="283" w:hanging="567"/>
        <w:jc w:val="both"/>
        <w:rPr>
          <w:rFonts w:ascii="Arial" w:hAnsi="Arial" w:cs="Arial"/>
          <w:sz w:val="22"/>
          <w:szCs w:val="22"/>
        </w:rPr>
      </w:pPr>
    </w:p>
    <w:p w14:paraId="02F6A23A" w14:textId="1D1543CA" w:rsidR="00C734F9" w:rsidRPr="00A4399B" w:rsidRDefault="00C734F9" w:rsidP="009B5BAE">
      <w:pPr>
        <w:pStyle w:val="ListParagraph"/>
        <w:numPr>
          <w:ilvl w:val="0"/>
          <w:numId w:val="3"/>
        </w:numPr>
        <w:tabs>
          <w:tab w:val="clear" w:pos="1004"/>
        </w:tabs>
        <w:autoSpaceDE w:val="0"/>
        <w:autoSpaceDN w:val="0"/>
        <w:adjustRightInd w:val="0"/>
        <w:ind w:left="567" w:hanging="567"/>
        <w:jc w:val="both"/>
        <w:rPr>
          <w:rFonts w:ascii="Arial" w:hAnsi="Arial" w:cs="Arial"/>
          <w:sz w:val="22"/>
          <w:szCs w:val="22"/>
        </w:rPr>
      </w:pPr>
      <w:r w:rsidRPr="00A4399B">
        <w:rPr>
          <w:rFonts w:ascii="Arial" w:hAnsi="Arial" w:cs="Arial"/>
          <w:sz w:val="22"/>
          <w:szCs w:val="22"/>
        </w:rPr>
        <w:t>Article 14</w:t>
      </w:r>
      <w:r w:rsidR="007D4FC3" w:rsidRPr="00A4399B">
        <w:rPr>
          <w:rFonts w:ascii="Arial" w:hAnsi="Arial" w:cs="Arial"/>
          <w:sz w:val="22"/>
          <w:szCs w:val="22"/>
        </w:rPr>
        <w:t>, on p</w:t>
      </w:r>
      <w:r w:rsidRPr="00A4399B">
        <w:rPr>
          <w:rFonts w:ascii="Arial" w:hAnsi="Arial" w:cs="Arial"/>
          <w:sz w:val="22"/>
          <w:szCs w:val="22"/>
        </w:rPr>
        <w:t>rohibition of discrimination</w:t>
      </w:r>
      <w:r w:rsidR="005C100E" w:rsidRPr="00A4399B">
        <w:rPr>
          <w:rFonts w:ascii="Arial" w:hAnsi="Arial" w:cs="Arial"/>
          <w:sz w:val="22"/>
          <w:szCs w:val="22"/>
        </w:rPr>
        <w:t>,</w:t>
      </w:r>
      <w:r w:rsidR="007D4FC3" w:rsidRPr="00A4399B">
        <w:rPr>
          <w:rFonts w:ascii="Arial" w:hAnsi="Arial" w:cs="Arial"/>
          <w:sz w:val="22"/>
          <w:szCs w:val="22"/>
        </w:rPr>
        <w:t xml:space="preserve"> provides</w:t>
      </w:r>
      <w:r w:rsidR="00460CAB" w:rsidRPr="00A4399B">
        <w:rPr>
          <w:rFonts w:ascii="Arial" w:hAnsi="Arial" w:cs="Arial"/>
          <w:sz w:val="22"/>
          <w:szCs w:val="22"/>
        </w:rPr>
        <w:t xml:space="preserve"> for:</w:t>
      </w:r>
    </w:p>
    <w:p w14:paraId="5459155B" w14:textId="77777777" w:rsidR="00460CAB" w:rsidRPr="00A4399B" w:rsidRDefault="00460CAB" w:rsidP="00460CAB">
      <w:pPr>
        <w:pStyle w:val="ListParagraph"/>
        <w:autoSpaceDE w:val="0"/>
        <w:autoSpaceDN w:val="0"/>
        <w:adjustRightInd w:val="0"/>
        <w:jc w:val="both"/>
        <w:rPr>
          <w:rFonts w:ascii="Arial" w:hAnsi="Arial" w:cs="Arial"/>
          <w:sz w:val="22"/>
          <w:szCs w:val="22"/>
        </w:rPr>
      </w:pPr>
    </w:p>
    <w:p w14:paraId="4ABA4DC2" w14:textId="56AD2C19" w:rsidR="00C734F9" w:rsidRPr="00A4399B" w:rsidRDefault="00C734F9" w:rsidP="003047AD">
      <w:pPr>
        <w:pStyle w:val="ListParagraph"/>
        <w:autoSpaceDE w:val="0"/>
        <w:autoSpaceDN w:val="0"/>
        <w:adjustRightInd w:val="0"/>
        <w:jc w:val="both"/>
        <w:rPr>
          <w:rFonts w:ascii="Arial" w:hAnsi="Arial" w:cs="Arial"/>
          <w:sz w:val="22"/>
          <w:szCs w:val="22"/>
        </w:rPr>
      </w:pPr>
      <w:r w:rsidRPr="00A4399B">
        <w:rPr>
          <w:rFonts w:ascii="Arial" w:hAnsi="Arial" w:cs="Arial"/>
          <w:sz w:val="22"/>
          <w:szCs w:val="22"/>
        </w:rPr>
        <w:t xml:space="preserve">The enjoyment of the rights and freedoms set forth in </w:t>
      </w:r>
      <w:r w:rsidR="00EB0BA4" w:rsidRPr="00A4399B">
        <w:rPr>
          <w:rFonts w:ascii="Arial" w:hAnsi="Arial" w:cs="Arial"/>
          <w:sz w:val="22"/>
          <w:szCs w:val="22"/>
        </w:rPr>
        <w:t xml:space="preserve">the </w:t>
      </w:r>
      <w:r w:rsidR="00EB0BA4" w:rsidRPr="00A4399B">
        <w:rPr>
          <w:rStyle w:val="hgkelc"/>
          <w:rFonts w:ascii="Arial" w:hAnsi="Arial" w:cs="Arial"/>
          <w:bCs/>
          <w:sz w:val="22"/>
          <w:szCs w:val="22"/>
        </w:rPr>
        <w:t>European Convention</w:t>
      </w:r>
      <w:r w:rsidR="00EB0BA4" w:rsidRPr="00A4399B">
        <w:rPr>
          <w:rStyle w:val="hgkelc"/>
          <w:rFonts w:ascii="Arial" w:hAnsi="Arial" w:cs="Arial"/>
          <w:sz w:val="22"/>
          <w:szCs w:val="22"/>
        </w:rPr>
        <w:t xml:space="preserve"> on Human Rights and the Human Rights Act</w:t>
      </w:r>
      <w:r w:rsidRPr="00A4399B">
        <w:rPr>
          <w:rFonts w:ascii="Arial" w:hAnsi="Arial" w:cs="Arial"/>
          <w:sz w:val="22"/>
          <w:szCs w:val="22"/>
        </w:rPr>
        <w:t xml:space="preserve"> shall be secured without discrimination on any ground such as sex, race, colour, language, religion, political or other opinion, national or social origin, association with a national minority, property, birth or other status.</w:t>
      </w:r>
    </w:p>
    <w:p w14:paraId="4C81B00B" w14:textId="4BFA62F2" w:rsidR="003047AD" w:rsidRPr="00A4399B" w:rsidRDefault="003047AD" w:rsidP="003047AD">
      <w:pPr>
        <w:pStyle w:val="ListParagraph"/>
        <w:autoSpaceDE w:val="0"/>
        <w:autoSpaceDN w:val="0"/>
        <w:adjustRightInd w:val="0"/>
        <w:jc w:val="both"/>
        <w:rPr>
          <w:rFonts w:ascii="Arial" w:hAnsi="Arial" w:cs="Arial"/>
          <w:sz w:val="22"/>
          <w:szCs w:val="22"/>
        </w:rPr>
      </w:pPr>
    </w:p>
    <w:bookmarkEnd w:id="14"/>
    <w:p w14:paraId="10127030" w14:textId="7F1638E0" w:rsidR="00C5040E" w:rsidRDefault="00E005C8" w:rsidP="007E6782">
      <w:pPr>
        <w:pStyle w:val="ListParagraph"/>
        <w:numPr>
          <w:ilvl w:val="0"/>
          <w:numId w:val="3"/>
        </w:numPr>
        <w:tabs>
          <w:tab w:val="left" w:pos="567"/>
        </w:tabs>
        <w:ind w:left="0" w:firstLine="0"/>
        <w:jc w:val="both"/>
        <w:rPr>
          <w:rFonts w:ascii="Arial" w:hAnsi="Arial" w:cs="Arial"/>
          <w:sz w:val="22"/>
          <w:szCs w:val="22"/>
        </w:rPr>
      </w:pPr>
      <w:r>
        <w:rPr>
          <w:rFonts w:ascii="Arial" w:hAnsi="Arial" w:cs="Arial"/>
          <w:sz w:val="22"/>
          <w:szCs w:val="22"/>
        </w:rPr>
        <w:t>In so far as they are relevant to this appeal, t</w:t>
      </w:r>
      <w:r w:rsidR="002364F6">
        <w:rPr>
          <w:rFonts w:ascii="Arial" w:hAnsi="Arial" w:cs="Arial"/>
          <w:sz w:val="22"/>
          <w:szCs w:val="22"/>
        </w:rPr>
        <w:t xml:space="preserve">he </w:t>
      </w:r>
      <w:r w:rsidR="002364F6" w:rsidRPr="00A4399B">
        <w:rPr>
          <w:rFonts w:ascii="Arial" w:hAnsi="Arial" w:cs="Arial"/>
          <w:sz w:val="22"/>
          <w:szCs w:val="22"/>
        </w:rPr>
        <w:t>Tribunal Procedure (First-tier Tribunal) (Social Entitlement Chamber) Rules 2008</w:t>
      </w:r>
      <w:r w:rsidR="005F7C54">
        <w:rPr>
          <w:rFonts w:ascii="Arial" w:hAnsi="Arial" w:cs="Arial"/>
          <w:sz w:val="22"/>
          <w:szCs w:val="22"/>
        </w:rPr>
        <w:t>,</w:t>
      </w:r>
      <w:r>
        <w:rPr>
          <w:rFonts w:ascii="Arial" w:hAnsi="Arial" w:cs="Arial"/>
          <w:sz w:val="22"/>
          <w:szCs w:val="22"/>
        </w:rPr>
        <w:t xml:space="preserve"> provide the following:</w:t>
      </w:r>
    </w:p>
    <w:p w14:paraId="264574D4" w14:textId="77777777" w:rsidR="004E2CEA" w:rsidRDefault="004E2CEA" w:rsidP="004E2CEA">
      <w:pPr>
        <w:autoSpaceDE w:val="0"/>
        <w:autoSpaceDN w:val="0"/>
        <w:adjustRightInd w:val="0"/>
        <w:ind w:left="720"/>
        <w:rPr>
          <w:rFonts w:ascii="Arial" w:hAnsi="Arial" w:cs="Arial"/>
          <w:b/>
          <w:bCs/>
          <w:color w:val="000000"/>
          <w:sz w:val="22"/>
          <w:szCs w:val="22"/>
        </w:rPr>
      </w:pPr>
    </w:p>
    <w:p w14:paraId="33715D63" w14:textId="67439203" w:rsidR="004E2CEA" w:rsidRPr="000D6307" w:rsidRDefault="004E2CEA" w:rsidP="004E2CEA">
      <w:pPr>
        <w:autoSpaceDE w:val="0"/>
        <w:autoSpaceDN w:val="0"/>
        <w:adjustRightInd w:val="0"/>
        <w:ind w:left="720"/>
        <w:rPr>
          <w:rFonts w:ascii="Arial" w:hAnsi="Arial" w:cs="Arial"/>
          <w:color w:val="000000"/>
          <w:sz w:val="22"/>
          <w:szCs w:val="22"/>
        </w:rPr>
      </w:pPr>
      <w:r w:rsidRPr="000D6307">
        <w:rPr>
          <w:rFonts w:ascii="Arial" w:hAnsi="Arial" w:cs="Arial"/>
          <w:b/>
          <w:bCs/>
          <w:color w:val="000000"/>
          <w:sz w:val="22"/>
          <w:szCs w:val="22"/>
        </w:rPr>
        <w:t>Overriding objective and parties' obligation to co-operate with the Tribunal</w:t>
      </w:r>
    </w:p>
    <w:p w14:paraId="1F185D62" w14:textId="51D7B3FF" w:rsidR="004E2CEA" w:rsidRPr="000D6307" w:rsidRDefault="004E2CEA" w:rsidP="00E97933">
      <w:pPr>
        <w:autoSpaceDE w:val="0"/>
        <w:autoSpaceDN w:val="0"/>
        <w:adjustRightInd w:val="0"/>
        <w:ind w:left="1276" w:hanging="567"/>
        <w:rPr>
          <w:rFonts w:ascii="Arial" w:hAnsi="Arial" w:cs="Arial"/>
          <w:color w:val="000000"/>
          <w:sz w:val="22"/>
          <w:szCs w:val="22"/>
        </w:rPr>
      </w:pPr>
      <w:r w:rsidRPr="000D6307">
        <w:rPr>
          <w:rFonts w:ascii="Arial" w:hAnsi="Arial" w:cs="Arial"/>
          <w:b/>
          <w:bCs/>
          <w:color w:val="000000"/>
          <w:sz w:val="22"/>
          <w:szCs w:val="22"/>
        </w:rPr>
        <w:t>2.</w:t>
      </w:r>
      <w:r w:rsidRPr="000D6307">
        <w:rPr>
          <w:rFonts w:ascii="Arial" w:hAnsi="Arial" w:cs="Arial"/>
          <w:color w:val="000000"/>
          <w:sz w:val="22"/>
          <w:szCs w:val="22"/>
        </w:rPr>
        <w:t>—</w:t>
      </w:r>
      <w:r w:rsidR="00E97933">
        <w:rPr>
          <w:rFonts w:ascii="Arial" w:hAnsi="Arial" w:cs="Arial"/>
          <w:color w:val="000000"/>
          <w:sz w:val="22"/>
          <w:szCs w:val="22"/>
        </w:rPr>
        <w:t xml:space="preserve">  </w:t>
      </w:r>
      <w:r w:rsidR="007A5CBF">
        <w:rPr>
          <w:rFonts w:ascii="Arial" w:hAnsi="Arial" w:cs="Arial"/>
          <w:color w:val="000000"/>
          <w:sz w:val="22"/>
          <w:szCs w:val="22"/>
        </w:rPr>
        <w:t xml:space="preserve"> </w:t>
      </w:r>
      <w:r w:rsidRPr="000D6307">
        <w:rPr>
          <w:rFonts w:ascii="Arial" w:hAnsi="Arial" w:cs="Arial"/>
          <w:color w:val="000000"/>
          <w:sz w:val="22"/>
          <w:szCs w:val="22"/>
        </w:rPr>
        <w:t>(1) The overriding objective of these Rules is to enable the Tribunal to deal with cases fairly</w:t>
      </w:r>
      <w:r w:rsidRPr="000B59A0">
        <w:rPr>
          <w:rFonts w:ascii="Arial" w:hAnsi="Arial" w:cs="Arial"/>
          <w:color w:val="000000"/>
          <w:sz w:val="22"/>
          <w:szCs w:val="22"/>
        </w:rPr>
        <w:t xml:space="preserve"> </w:t>
      </w:r>
      <w:r w:rsidRPr="000D6307">
        <w:rPr>
          <w:rFonts w:ascii="Arial" w:hAnsi="Arial" w:cs="Arial"/>
          <w:color w:val="000000"/>
          <w:sz w:val="22"/>
          <w:szCs w:val="22"/>
        </w:rPr>
        <w:t>and justly.</w:t>
      </w:r>
    </w:p>
    <w:p w14:paraId="192C8CE9" w14:textId="77777777" w:rsidR="00B80C18" w:rsidRDefault="00B80C18" w:rsidP="00E97933">
      <w:pPr>
        <w:autoSpaceDE w:val="0"/>
        <w:autoSpaceDN w:val="0"/>
        <w:adjustRightInd w:val="0"/>
        <w:ind w:left="1276"/>
        <w:rPr>
          <w:rFonts w:ascii="Arial" w:hAnsi="Arial" w:cs="Arial"/>
          <w:color w:val="000000"/>
          <w:sz w:val="22"/>
          <w:szCs w:val="22"/>
        </w:rPr>
      </w:pPr>
    </w:p>
    <w:p w14:paraId="04C337D8" w14:textId="302BBE34" w:rsidR="004E2CEA" w:rsidRPr="000D6307" w:rsidRDefault="004E2CEA" w:rsidP="00E97933">
      <w:pPr>
        <w:autoSpaceDE w:val="0"/>
        <w:autoSpaceDN w:val="0"/>
        <w:adjustRightInd w:val="0"/>
        <w:ind w:left="1276"/>
        <w:rPr>
          <w:rFonts w:ascii="Arial" w:hAnsi="Arial" w:cs="Arial"/>
          <w:color w:val="000000"/>
          <w:sz w:val="22"/>
          <w:szCs w:val="22"/>
        </w:rPr>
      </w:pPr>
      <w:r w:rsidRPr="000D6307">
        <w:rPr>
          <w:rFonts w:ascii="Arial" w:hAnsi="Arial" w:cs="Arial"/>
          <w:color w:val="000000"/>
          <w:sz w:val="22"/>
          <w:szCs w:val="22"/>
        </w:rPr>
        <w:t>(2) Dealing with a case fairly and justly includes—</w:t>
      </w:r>
    </w:p>
    <w:p w14:paraId="504218A2" w14:textId="5D268D13" w:rsidR="004E2CEA" w:rsidRPr="000D6307" w:rsidRDefault="004E2CEA" w:rsidP="007A5CBF">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(a)</w:t>
      </w:r>
      <w:r w:rsidR="00A2257F">
        <w:rPr>
          <w:rFonts w:ascii="Arial" w:hAnsi="Arial" w:cs="Arial"/>
          <w:color w:val="000000"/>
          <w:sz w:val="22"/>
          <w:szCs w:val="22"/>
        </w:rPr>
        <w:t xml:space="preserve"> </w:t>
      </w:r>
      <w:r w:rsidR="00B80C18">
        <w:rPr>
          <w:rFonts w:ascii="Arial" w:hAnsi="Arial" w:cs="Arial"/>
          <w:color w:val="000000"/>
          <w:sz w:val="22"/>
          <w:szCs w:val="22"/>
        </w:rPr>
        <w:tab/>
      </w:r>
      <w:r w:rsidRPr="000D6307">
        <w:rPr>
          <w:rFonts w:ascii="Arial" w:hAnsi="Arial" w:cs="Arial"/>
          <w:color w:val="000000"/>
          <w:sz w:val="22"/>
          <w:szCs w:val="22"/>
        </w:rPr>
        <w:t>dealing with the case in ways which are proportionate to the importance of the case, the</w:t>
      </w:r>
      <w:r w:rsidRPr="000B59A0">
        <w:rPr>
          <w:rFonts w:ascii="Arial" w:hAnsi="Arial" w:cs="Arial"/>
          <w:color w:val="000000"/>
          <w:sz w:val="22"/>
          <w:szCs w:val="22"/>
        </w:rPr>
        <w:t xml:space="preserve"> </w:t>
      </w:r>
      <w:r w:rsidRPr="000D6307">
        <w:rPr>
          <w:rFonts w:ascii="Arial" w:hAnsi="Arial" w:cs="Arial"/>
          <w:color w:val="000000"/>
          <w:sz w:val="22"/>
          <w:szCs w:val="22"/>
        </w:rPr>
        <w:t>complexity of the issues, the anticipated costs and the resources of the parties;</w:t>
      </w:r>
    </w:p>
    <w:p w14:paraId="12B7DD6A" w14:textId="2AFF0837" w:rsidR="004E2CEA" w:rsidRPr="000D6307" w:rsidRDefault="004E2CEA" w:rsidP="007A5CBF">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 xml:space="preserve">(b) </w:t>
      </w:r>
      <w:r w:rsidR="00B80C18">
        <w:rPr>
          <w:rFonts w:ascii="Arial" w:hAnsi="Arial" w:cs="Arial"/>
          <w:color w:val="000000"/>
          <w:sz w:val="22"/>
          <w:szCs w:val="22"/>
        </w:rPr>
        <w:tab/>
      </w:r>
      <w:r w:rsidRPr="000D6307">
        <w:rPr>
          <w:rFonts w:ascii="Arial" w:hAnsi="Arial" w:cs="Arial"/>
          <w:color w:val="000000"/>
          <w:sz w:val="22"/>
          <w:szCs w:val="22"/>
        </w:rPr>
        <w:t>avoiding unnecessary formality and seeking flexibility in the proceedings;</w:t>
      </w:r>
    </w:p>
    <w:p w14:paraId="32B5E7D4" w14:textId="14EAF88E" w:rsidR="004E2CEA" w:rsidRPr="000D6307" w:rsidRDefault="004E2CEA" w:rsidP="007A5CBF">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 xml:space="preserve">(c) </w:t>
      </w:r>
      <w:r w:rsidR="00B80C18">
        <w:rPr>
          <w:rFonts w:ascii="Arial" w:hAnsi="Arial" w:cs="Arial"/>
          <w:color w:val="000000"/>
          <w:sz w:val="22"/>
          <w:szCs w:val="22"/>
        </w:rPr>
        <w:tab/>
      </w:r>
      <w:r w:rsidRPr="000D6307">
        <w:rPr>
          <w:rFonts w:ascii="Arial" w:hAnsi="Arial" w:cs="Arial"/>
          <w:color w:val="000000"/>
          <w:sz w:val="22"/>
          <w:szCs w:val="22"/>
        </w:rPr>
        <w:t>ensuring, so far as practicable, that the parties are able to participate fully in the</w:t>
      </w:r>
      <w:r w:rsidRPr="000B59A0">
        <w:rPr>
          <w:rFonts w:ascii="Arial" w:hAnsi="Arial" w:cs="Arial"/>
          <w:color w:val="000000"/>
          <w:sz w:val="22"/>
          <w:szCs w:val="22"/>
        </w:rPr>
        <w:t xml:space="preserve"> </w:t>
      </w:r>
      <w:r w:rsidRPr="000D6307">
        <w:rPr>
          <w:rFonts w:ascii="Arial" w:hAnsi="Arial" w:cs="Arial"/>
          <w:color w:val="000000"/>
          <w:sz w:val="22"/>
          <w:szCs w:val="22"/>
        </w:rPr>
        <w:t>proceedings;</w:t>
      </w:r>
    </w:p>
    <w:p w14:paraId="078B6BF6" w14:textId="154E1982" w:rsidR="004E2CEA" w:rsidRPr="000D6307" w:rsidRDefault="004E2CEA" w:rsidP="007A5CBF">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 xml:space="preserve">(d) </w:t>
      </w:r>
      <w:r w:rsidR="00B80C18">
        <w:rPr>
          <w:rFonts w:ascii="Arial" w:hAnsi="Arial" w:cs="Arial"/>
          <w:color w:val="000000"/>
          <w:sz w:val="22"/>
          <w:szCs w:val="22"/>
        </w:rPr>
        <w:tab/>
      </w:r>
      <w:r w:rsidRPr="000D6307">
        <w:rPr>
          <w:rFonts w:ascii="Arial" w:hAnsi="Arial" w:cs="Arial"/>
          <w:color w:val="000000"/>
          <w:sz w:val="22"/>
          <w:szCs w:val="22"/>
        </w:rPr>
        <w:t>using any special expertise of the Tribunal effectively; and</w:t>
      </w:r>
    </w:p>
    <w:p w14:paraId="0AB97BD6" w14:textId="7035535C" w:rsidR="004E2CEA" w:rsidRPr="000D6307" w:rsidRDefault="004E2CEA" w:rsidP="007A5CBF">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 xml:space="preserve">(e) </w:t>
      </w:r>
      <w:r w:rsidR="00B80C18">
        <w:rPr>
          <w:rFonts w:ascii="Arial" w:hAnsi="Arial" w:cs="Arial"/>
          <w:color w:val="000000"/>
          <w:sz w:val="22"/>
          <w:szCs w:val="22"/>
        </w:rPr>
        <w:tab/>
      </w:r>
      <w:r w:rsidRPr="000D6307">
        <w:rPr>
          <w:rFonts w:ascii="Arial" w:hAnsi="Arial" w:cs="Arial"/>
          <w:color w:val="000000"/>
          <w:sz w:val="22"/>
          <w:szCs w:val="22"/>
        </w:rPr>
        <w:t>avoiding delay, so far as compatible with proper consideration of the issues.</w:t>
      </w:r>
    </w:p>
    <w:p w14:paraId="08D06E74" w14:textId="77777777" w:rsidR="004E2CEA" w:rsidRPr="000D6307" w:rsidRDefault="004E2CEA" w:rsidP="00A2257F">
      <w:pPr>
        <w:autoSpaceDE w:val="0"/>
        <w:autoSpaceDN w:val="0"/>
        <w:adjustRightInd w:val="0"/>
        <w:ind w:left="993"/>
        <w:rPr>
          <w:rFonts w:ascii="Arial" w:hAnsi="Arial" w:cs="Arial"/>
          <w:color w:val="000000"/>
          <w:sz w:val="22"/>
          <w:szCs w:val="22"/>
        </w:rPr>
      </w:pPr>
    </w:p>
    <w:p w14:paraId="3F2A03F9" w14:textId="77777777" w:rsidR="004E2CEA" w:rsidRPr="000D6307" w:rsidRDefault="004E2CEA" w:rsidP="005E7593">
      <w:pPr>
        <w:autoSpaceDE w:val="0"/>
        <w:autoSpaceDN w:val="0"/>
        <w:adjustRightInd w:val="0"/>
        <w:ind w:left="1276"/>
        <w:rPr>
          <w:rFonts w:ascii="Arial" w:hAnsi="Arial" w:cs="Arial"/>
          <w:color w:val="000000"/>
          <w:sz w:val="22"/>
          <w:szCs w:val="22"/>
        </w:rPr>
      </w:pPr>
      <w:r w:rsidRPr="000D6307">
        <w:rPr>
          <w:rFonts w:ascii="Arial" w:hAnsi="Arial" w:cs="Arial"/>
          <w:color w:val="000000"/>
          <w:sz w:val="22"/>
          <w:szCs w:val="22"/>
        </w:rPr>
        <w:t>(3) The Tribunal must seek to give effect to the overriding objective when it—</w:t>
      </w:r>
    </w:p>
    <w:p w14:paraId="49E74B43" w14:textId="77777777" w:rsidR="004E2CEA" w:rsidRPr="000D6307" w:rsidRDefault="004E2CEA" w:rsidP="00B80C18">
      <w:pPr>
        <w:autoSpaceDE w:val="0"/>
        <w:autoSpaceDN w:val="0"/>
        <w:adjustRightInd w:val="0"/>
        <w:ind w:left="1123" w:firstLine="720"/>
        <w:rPr>
          <w:rFonts w:ascii="Arial" w:hAnsi="Arial" w:cs="Arial"/>
          <w:color w:val="000000"/>
          <w:sz w:val="22"/>
          <w:szCs w:val="22"/>
        </w:rPr>
      </w:pPr>
      <w:r w:rsidRPr="000B59A0">
        <w:rPr>
          <w:rFonts w:ascii="Arial" w:hAnsi="Arial" w:cs="Arial"/>
          <w:color w:val="000000"/>
          <w:sz w:val="22"/>
          <w:szCs w:val="22"/>
        </w:rPr>
        <w:t xml:space="preserve">(a) </w:t>
      </w:r>
      <w:r w:rsidRPr="000D6307">
        <w:rPr>
          <w:rFonts w:ascii="Arial" w:hAnsi="Arial" w:cs="Arial"/>
          <w:color w:val="000000"/>
          <w:sz w:val="22"/>
          <w:szCs w:val="22"/>
        </w:rPr>
        <w:t>exercises any power under these Rules; or</w:t>
      </w:r>
    </w:p>
    <w:p w14:paraId="493F2115" w14:textId="77777777" w:rsidR="004E2CEA" w:rsidRPr="000D6307" w:rsidRDefault="004E2CEA" w:rsidP="00B80C18">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 xml:space="preserve">(b) </w:t>
      </w:r>
      <w:r w:rsidRPr="000D6307">
        <w:rPr>
          <w:rFonts w:ascii="Arial" w:hAnsi="Arial" w:cs="Arial"/>
          <w:color w:val="000000"/>
          <w:sz w:val="22"/>
          <w:szCs w:val="22"/>
        </w:rPr>
        <w:t>interprets any rule or practice direction.</w:t>
      </w:r>
    </w:p>
    <w:p w14:paraId="15E4F102" w14:textId="77777777" w:rsidR="004E2CEA" w:rsidRPr="000D6307" w:rsidRDefault="004E2CEA" w:rsidP="00B80C18">
      <w:pPr>
        <w:autoSpaceDE w:val="0"/>
        <w:autoSpaceDN w:val="0"/>
        <w:adjustRightInd w:val="0"/>
        <w:ind w:left="2268" w:hanging="425"/>
        <w:rPr>
          <w:rFonts w:ascii="Arial" w:hAnsi="Arial" w:cs="Arial"/>
          <w:color w:val="000000"/>
          <w:sz w:val="22"/>
          <w:szCs w:val="22"/>
        </w:rPr>
      </w:pPr>
    </w:p>
    <w:p w14:paraId="0AFE8D0E" w14:textId="3FEF9229" w:rsidR="004E2CEA" w:rsidRPr="000D6307" w:rsidRDefault="004E2CEA" w:rsidP="005E7593">
      <w:pPr>
        <w:autoSpaceDE w:val="0"/>
        <w:autoSpaceDN w:val="0"/>
        <w:adjustRightInd w:val="0"/>
        <w:ind w:left="1276"/>
        <w:rPr>
          <w:rFonts w:ascii="Arial" w:hAnsi="Arial" w:cs="Arial"/>
          <w:color w:val="000000"/>
          <w:sz w:val="22"/>
          <w:szCs w:val="22"/>
        </w:rPr>
      </w:pPr>
      <w:r w:rsidRPr="000D6307">
        <w:rPr>
          <w:rFonts w:ascii="Arial" w:hAnsi="Arial" w:cs="Arial"/>
          <w:color w:val="000000"/>
          <w:sz w:val="22"/>
          <w:szCs w:val="22"/>
        </w:rPr>
        <w:t>(4) Parties must—</w:t>
      </w:r>
    </w:p>
    <w:p w14:paraId="627615D2" w14:textId="77777777" w:rsidR="004E2CEA" w:rsidRPr="000D6307" w:rsidRDefault="004E2CEA" w:rsidP="005E7593">
      <w:pPr>
        <w:autoSpaceDE w:val="0"/>
        <w:autoSpaceDN w:val="0"/>
        <w:adjustRightInd w:val="0"/>
        <w:ind w:firstLine="1843"/>
        <w:rPr>
          <w:rFonts w:ascii="Arial" w:hAnsi="Arial" w:cs="Arial"/>
          <w:color w:val="000000"/>
          <w:sz w:val="22"/>
          <w:szCs w:val="22"/>
        </w:rPr>
      </w:pPr>
      <w:r w:rsidRPr="000B59A0">
        <w:rPr>
          <w:rFonts w:ascii="Arial" w:hAnsi="Arial" w:cs="Arial"/>
          <w:color w:val="000000"/>
          <w:sz w:val="22"/>
          <w:szCs w:val="22"/>
        </w:rPr>
        <w:t xml:space="preserve">(a) </w:t>
      </w:r>
      <w:r w:rsidRPr="000D6307">
        <w:rPr>
          <w:rFonts w:ascii="Arial" w:hAnsi="Arial" w:cs="Arial"/>
          <w:color w:val="000000"/>
          <w:sz w:val="22"/>
          <w:szCs w:val="22"/>
        </w:rPr>
        <w:t>help the Tribunal to further the overriding objective; and</w:t>
      </w:r>
    </w:p>
    <w:p w14:paraId="672FFAEB" w14:textId="77777777" w:rsidR="004E2CEA" w:rsidRPr="000D6307" w:rsidRDefault="004E2CEA" w:rsidP="005E7593">
      <w:pPr>
        <w:autoSpaceDE w:val="0"/>
        <w:autoSpaceDN w:val="0"/>
        <w:adjustRightInd w:val="0"/>
        <w:ind w:left="2268" w:hanging="425"/>
        <w:rPr>
          <w:rFonts w:ascii="Arial" w:hAnsi="Arial" w:cs="Arial"/>
          <w:color w:val="000000"/>
          <w:sz w:val="22"/>
          <w:szCs w:val="22"/>
        </w:rPr>
      </w:pPr>
      <w:r w:rsidRPr="000B59A0">
        <w:rPr>
          <w:rFonts w:ascii="Arial" w:hAnsi="Arial" w:cs="Arial"/>
          <w:color w:val="000000"/>
          <w:sz w:val="22"/>
          <w:szCs w:val="22"/>
        </w:rPr>
        <w:t xml:space="preserve">(b) </w:t>
      </w:r>
      <w:r w:rsidRPr="000D6307">
        <w:rPr>
          <w:rFonts w:ascii="Arial" w:hAnsi="Arial" w:cs="Arial"/>
          <w:color w:val="000000"/>
          <w:sz w:val="22"/>
          <w:szCs w:val="22"/>
        </w:rPr>
        <w:t>co-operate with the Tribunal generally.</w:t>
      </w:r>
    </w:p>
    <w:p w14:paraId="36B9FD36" w14:textId="77777777" w:rsidR="004E2CEA" w:rsidRPr="000B59A0" w:rsidRDefault="004E2CEA" w:rsidP="005E7593">
      <w:pPr>
        <w:pStyle w:val="Default"/>
        <w:ind w:left="2268" w:hanging="425"/>
        <w:rPr>
          <w:rFonts w:ascii="Arial" w:hAnsi="Arial" w:cs="Arial"/>
          <w:sz w:val="22"/>
          <w:szCs w:val="22"/>
        </w:rPr>
      </w:pPr>
    </w:p>
    <w:p w14:paraId="7C6AD26C" w14:textId="2B081A01" w:rsidR="00C24BAD" w:rsidRDefault="004259FC" w:rsidP="00E005C8">
      <w:pPr>
        <w:pStyle w:val="ListParagraph"/>
        <w:numPr>
          <w:ilvl w:val="0"/>
          <w:numId w:val="3"/>
        </w:numPr>
        <w:tabs>
          <w:tab w:val="left" w:pos="709"/>
        </w:tabs>
        <w:ind w:left="0" w:firstLine="0"/>
        <w:jc w:val="both"/>
        <w:rPr>
          <w:rFonts w:ascii="Arial" w:hAnsi="Arial" w:cs="Arial"/>
          <w:sz w:val="22"/>
          <w:szCs w:val="22"/>
        </w:rPr>
      </w:pPr>
      <w:bookmarkStart w:id="15" w:name="_Hlk70676532"/>
      <w:r>
        <w:rPr>
          <w:rFonts w:ascii="Arial" w:hAnsi="Arial" w:cs="Arial"/>
          <w:sz w:val="22"/>
          <w:szCs w:val="22"/>
        </w:rPr>
        <w:t>Rule 8</w:t>
      </w:r>
      <w:r w:rsidR="00C15DCF">
        <w:rPr>
          <w:rFonts w:ascii="Arial" w:hAnsi="Arial" w:cs="Arial"/>
          <w:sz w:val="22"/>
          <w:szCs w:val="22"/>
        </w:rPr>
        <w:t xml:space="preserve">, sets out </w:t>
      </w:r>
      <w:r>
        <w:rPr>
          <w:rFonts w:ascii="Arial" w:hAnsi="Arial" w:cs="Arial"/>
          <w:sz w:val="22"/>
          <w:szCs w:val="22"/>
        </w:rPr>
        <w:t xml:space="preserve">the </w:t>
      </w:r>
      <w:r w:rsidR="000905D7">
        <w:rPr>
          <w:rFonts w:ascii="Arial" w:hAnsi="Arial" w:cs="Arial"/>
          <w:sz w:val="22"/>
          <w:szCs w:val="22"/>
        </w:rPr>
        <w:t>Tribunal powers</w:t>
      </w:r>
      <w:r>
        <w:rPr>
          <w:rFonts w:ascii="Arial" w:hAnsi="Arial" w:cs="Arial"/>
          <w:sz w:val="22"/>
          <w:szCs w:val="22"/>
        </w:rPr>
        <w:t xml:space="preserve"> for </w:t>
      </w:r>
      <w:r w:rsidR="004358AA">
        <w:rPr>
          <w:rFonts w:ascii="Arial" w:hAnsi="Arial" w:cs="Arial"/>
          <w:sz w:val="22"/>
          <w:szCs w:val="22"/>
        </w:rPr>
        <w:t>striking out a party’s</w:t>
      </w:r>
      <w:r w:rsidR="00CB4380">
        <w:rPr>
          <w:rFonts w:ascii="Arial" w:hAnsi="Arial" w:cs="Arial"/>
          <w:sz w:val="22"/>
          <w:szCs w:val="22"/>
        </w:rPr>
        <w:t xml:space="preserve"> case and provides</w:t>
      </w:r>
      <w:r w:rsidR="009B7050">
        <w:rPr>
          <w:rFonts w:ascii="Arial" w:hAnsi="Arial" w:cs="Arial"/>
          <w:sz w:val="22"/>
          <w:szCs w:val="22"/>
        </w:rPr>
        <w:t>:</w:t>
      </w:r>
    </w:p>
    <w:bookmarkEnd w:id="15"/>
    <w:p w14:paraId="042028F3" w14:textId="77777777" w:rsidR="002C51F2" w:rsidRDefault="002C51F2" w:rsidP="0073360D">
      <w:pPr>
        <w:pStyle w:val="Default"/>
        <w:ind w:left="720"/>
        <w:rPr>
          <w:rFonts w:ascii="Arial" w:hAnsi="Arial" w:cs="Arial"/>
          <w:b/>
          <w:bCs/>
          <w:sz w:val="22"/>
          <w:szCs w:val="22"/>
        </w:rPr>
      </w:pPr>
    </w:p>
    <w:p w14:paraId="5EA8FBFD" w14:textId="2563E3A0" w:rsidR="0073360D" w:rsidRPr="00C4404B" w:rsidRDefault="0073360D" w:rsidP="0073360D">
      <w:pPr>
        <w:pStyle w:val="Default"/>
        <w:ind w:left="720"/>
        <w:rPr>
          <w:rFonts w:ascii="Arial" w:hAnsi="Arial" w:cs="Arial"/>
          <w:sz w:val="22"/>
          <w:szCs w:val="22"/>
        </w:rPr>
      </w:pPr>
      <w:r w:rsidRPr="00C4404B">
        <w:rPr>
          <w:rFonts w:ascii="Arial" w:hAnsi="Arial" w:cs="Arial"/>
          <w:b/>
          <w:bCs/>
          <w:sz w:val="22"/>
          <w:szCs w:val="22"/>
        </w:rPr>
        <w:t>Striking out a party's case</w:t>
      </w:r>
    </w:p>
    <w:p w14:paraId="13D7F992" w14:textId="77777777" w:rsidR="0073360D" w:rsidRPr="00C4404B" w:rsidRDefault="0073360D" w:rsidP="0073360D">
      <w:pPr>
        <w:pStyle w:val="Default"/>
        <w:ind w:left="720"/>
        <w:rPr>
          <w:rFonts w:ascii="Arial" w:hAnsi="Arial" w:cs="Arial"/>
          <w:b/>
          <w:bCs/>
          <w:sz w:val="22"/>
          <w:szCs w:val="22"/>
        </w:rPr>
      </w:pPr>
    </w:p>
    <w:p w14:paraId="2F6B7BCE" w14:textId="09B9C98E" w:rsidR="0073360D" w:rsidRDefault="0073360D" w:rsidP="0073360D">
      <w:pPr>
        <w:pStyle w:val="Default"/>
        <w:ind w:left="720"/>
        <w:rPr>
          <w:rFonts w:ascii="Arial" w:hAnsi="Arial" w:cs="Arial"/>
          <w:sz w:val="22"/>
          <w:szCs w:val="22"/>
        </w:rPr>
      </w:pPr>
      <w:r w:rsidRPr="00C4404B">
        <w:rPr>
          <w:rFonts w:ascii="Arial" w:hAnsi="Arial" w:cs="Arial"/>
          <w:b/>
          <w:bCs/>
          <w:sz w:val="22"/>
          <w:szCs w:val="22"/>
        </w:rPr>
        <w:t>8.</w:t>
      </w:r>
      <w:r w:rsidRPr="00C4404B">
        <w:rPr>
          <w:rFonts w:ascii="Arial" w:hAnsi="Arial" w:cs="Arial"/>
          <w:sz w:val="22"/>
          <w:szCs w:val="22"/>
        </w:rPr>
        <w:t xml:space="preserve">—(1) </w:t>
      </w:r>
      <w:r>
        <w:rPr>
          <w:rFonts w:ascii="Arial" w:hAnsi="Arial" w:cs="Arial"/>
          <w:sz w:val="22"/>
          <w:szCs w:val="22"/>
        </w:rPr>
        <w:t>…</w:t>
      </w:r>
      <w:r w:rsidR="00BA72F4">
        <w:rPr>
          <w:rFonts w:ascii="Arial" w:hAnsi="Arial" w:cs="Arial"/>
          <w:sz w:val="22"/>
          <w:szCs w:val="22"/>
        </w:rPr>
        <w:t xml:space="preserve">and </w:t>
      </w:r>
      <w:r w:rsidRPr="00C4404B">
        <w:rPr>
          <w:rFonts w:ascii="Arial" w:hAnsi="Arial" w:cs="Arial"/>
          <w:sz w:val="22"/>
          <w:szCs w:val="22"/>
        </w:rPr>
        <w:t xml:space="preserve">(2) </w:t>
      </w:r>
      <w:r>
        <w:rPr>
          <w:rFonts w:ascii="Arial" w:hAnsi="Arial" w:cs="Arial"/>
          <w:sz w:val="22"/>
          <w:szCs w:val="22"/>
        </w:rPr>
        <w:t>….</w:t>
      </w:r>
      <w:r w:rsidR="00BA72F4">
        <w:rPr>
          <w:rFonts w:ascii="Arial" w:hAnsi="Arial" w:cs="Arial"/>
          <w:sz w:val="22"/>
          <w:szCs w:val="22"/>
        </w:rPr>
        <w:t>n/a</w:t>
      </w:r>
    </w:p>
    <w:p w14:paraId="49794C07" w14:textId="77777777" w:rsidR="0073360D" w:rsidRPr="00C4404B" w:rsidRDefault="0073360D" w:rsidP="0073360D">
      <w:pPr>
        <w:pStyle w:val="Default"/>
        <w:ind w:left="720"/>
        <w:rPr>
          <w:rFonts w:ascii="Arial" w:hAnsi="Arial" w:cs="Arial"/>
          <w:sz w:val="22"/>
          <w:szCs w:val="22"/>
        </w:rPr>
      </w:pPr>
      <w:r w:rsidRPr="00C4404B">
        <w:rPr>
          <w:rFonts w:ascii="Arial" w:hAnsi="Arial" w:cs="Arial"/>
          <w:sz w:val="22"/>
          <w:szCs w:val="22"/>
        </w:rPr>
        <w:t xml:space="preserve"> </w:t>
      </w:r>
    </w:p>
    <w:p w14:paraId="4D66793E" w14:textId="77777777" w:rsidR="0073360D" w:rsidRPr="00C4404B" w:rsidRDefault="0073360D" w:rsidP="0073360D">
      <w:pPr>
        <w:pStyle w:val="Default"/>
        <w:ind w:left="720"/>
        <w:rPr>
          <w:rFonts w:ascii="Arial" w:hAnsi="Arial" w:cs="Arial"/>
          <w:sz w:val="22"/>
          <w:szCs w:val="22"/>
        </w:rPr>
      </w:pPr>
      <w:r w:rsidRPr="00C4404B">
        <w:rPr>
          <w:rFonts w:ascii="Arial" w:hAnsi="Arial" w:cs="Arial"/>
          <w:sz w:val="22"/>
          <w:szCs w:val="22"/>
        </w:rPr>
        <w:t xml:space="preserve">(3) </w:t>
      </w:r>
      <w:r>
        <w:rPr>
          <w:rFonts w:ascii="Arial" w:hAnsi="Arial" w:cs="Arial"/>
          <w:sz w:val="22"/>
          <w:szCs w:val="22"/>
        </w:rPr>
        <w:tab/>
      </w:r>
      <w:r w:rsidRPr="00C4404B">
        <w:rPr>
          <w:rFonts w:ascii="Arial" w:hAnsi="Arial" w:cs="Arial"/>
          <w:sz w:val="22"/>
          <w:szCs w:val="22"/>
        </w:rPr>
        <w:t>The Tribunal may strike out the whole or a part of the proceedings if—</w:t>
      </w:r>
    </w:p>
    <w:p w14:paraId="6F460B0C" w14:textId="77777777" w:rsidR="0073360D" w:rsidRPr="00C4404B" w:rsidRDefault="0073360D" w:rsidP="0073360D">
      <w:pPr>
        <w:pStyle w:val="Default"/>
        <w:numPr>
          <w:ilvl w:val="0"/>
          <w:numId w:val="32"/>
        </w:numPr>
        <w:ind w:left="720"/>
        <w:rPr>
          <w:rFonts w:ascii="Arial" w:hAnsi="Arial" w:cs="Arial"/>
          <w:sz w:val="22"/>
          <w:szCs w:val="22"/>
        </w:rPr>
      </w:pPr>
    </w:p>
    <w:p w14:paraId="6D22CF28" w14:textId="77777777" w:rsidR="0073360D" w:rsidRPr="00C4404B" w:rsidRDefault="0073360D" w:rsidP="0073360D">
      <w:pPr>
        <w:pStyle w:val="Default"/>
        <w:ind w:left="1701" w:hanging="425"/>
        <w:rPr>
          <w:rFonts w:ascii="Arial" w:hAnsi="Arial" w:cs="Arial"/>
          <w:sz w:val="22"/>
          <w:szCs w:val="22"/>
        </w:rPr>
      </w:pPr>
      <w:r w:rsidRPr="00C4404B">
        <w:rPr>
          <w:rFonts w:ascii="Arial" w:hAnsi="Arial" w:cs="Arial"/>
          <w:sz w:val="22"/>
          <w:szCs w:val="22"/>
        </w:rPr>
        <w:t xml:space="preserve">(a) </w:t>
      </w:r>
      <w:r>
        <w:rPr>
          <w:rFonts w:ascii="Arial" w:hAnsi="Arial" w:cs="Arial"/>
          <w:sz w:val="22"/>
          <w:szCs w:val="22"/>
        </w:rPr>
        <w:tab/>
      </w:r>
      <w:r w:rsidRPr="00C4404B">
        <w:rPr>
          <w:rFonts w:ascii="Arial" w:hAnsi="Arial" w:cs="Arial"/>
          <w:sz w:val="22"/>
          <w:szCs w:val="22"/>
        </w:rPr>
        <w:t>the appellant has failed to comply with a direction which stated that failure by the appellant to comply with the direction could lead to the striking out of the proceedings or part of them;</w:t>
      </w:r>
    </w:p>
    <w:p w14:paraId="6B721ED9" w14:textId="4D184FC0" w:rsidR="0073360D" w:rsidRPr="00C4404B" w:rsidRDefault="0073360D" w:rsidP="0073360D">
      <w:pPr>
        <w:pStyle w:val="Default"/>
        <w:ind w:left="1701" w:hanging="425"/>
        <w:rPr>
          <w:rFonts w:ascii="Arial" w:hAnsi="Arial" w:cs="Arial"/>
          <w:sz w:val="22"/>
          <w:szCs w:val="22"/>
        </w:rPr>
      </w:pPr>
      <w:r w:rsidRPr="00C4404B">
        <w:rPr>
          <w:rFonts w:ascii="Arial" w:hAnsi="Arial" w:cs="Arial"/>
          <w:sz w:val="22"/>
          <w:szCs w:val="22"/>
        </w:rPr>
        <w:t xml:space="preserve">(b) </w:t>
      </w:r>
      <w:r>
        <w:rPr>
          <w:rFonts w:ascii="Arial" w:hAnsi="Arial" w:cs="Arial"/>
          <w:sz w:val="22"/>
          <w:szCs w:val="22"/>
        </w:rPr>
        <w:tab/>
        <w:t>…..</w:t>
      </w:r>
      <w:r w:rsidR="00CB4380">
        <w:rPr>
          <w:rFonts w:ascii="Arial" w:hAnsi="Arial" w:cs="Arial"/>
          <w:sz w:val="22"/>
          <w:szCs w:val="22"/>
        </w:rPr>
        <w:t>n/a</w:t>
      </w:r>
      <w:r w:rsidR="00484388">
        <w:rPr>
          <w:rFonts w:ascii="Arial" w:hAnsi="Arial" w:cs="Arial"/>
          <w:sz w:val="22"/>
          <w:szCs w:val="22"/>
        </w:rPr>
        <w:t>;</w:t>
      </w:r>
      <w:r>
        <w:rPr>
          <w:rFonts w:ascii="Arial" w:hAnsi="Arial" w:cs="Arial"/>
          <w:sz w:val="22"/>
          <w:szCs w:val="22"/>
        </w:rPr>
        <w:t xml:space="preserve"> </w:t>
      </w:r>
      <w:r w:rsidRPr="00C4404B">
        <w:rPr>
          <w:rFonts w:ascii="Arial" w:hAnsi="Arial" w:cs="Arial"/>
          <w:sz w:val="22"/>
          <w:szCs w:val="22"/>
        </w:rPr>
        <w:t>or</w:t>
      </w:r>
    </w:p>
    <w:p w14:paraId="14166BA3" w14:textId="77777777" w:rsidR="0073360D" w:rsidRPr="004358AA" w:rsidRDefault="0073360D" w:rsidP="0073360D">
      <w:pPr>
        <w:pStyle w:val="Default"/>
        <w:ind w:left="1701" w:hanging="425"/>
        <w:rPr>
          <w:rFonts w:ascii="Arial" w:hAnsi="Arial" w:cs="Arial"/>
          <w:sz w:val="22"/>
          <w:szCs w:val="22"/>
        </w:rPr>
      </w:pPr>
      <w:r w:rsidRPr="00C4404B">
        <w:rPr>
          <w:rFonts w:ascii="Arial" w:hAnsi="Arial" w:cs="Arial"/>
          <w:sz w:val="22"/>
          <w:szCs w:val="22"/>
        </w:rPr>
        <w:t xml:space="preserve">(c) </w:t>
      </w:r>
      <w:r>
        <w:rPr>
          <w:rFonts w:ascii="Arial" w:hAnsi="Arial" w:cs="Arial"/>
          <w:sz w:val="22"/>
          <w:szCs w:val="22"/>
        </w:rPr>
        <w:tab/>
      </w:r>
      <w:r w:rsidRPr="004358AA">
        <w:rPr>
          <w:rFonts w:ascii="Arial" w:hAnsi="Arial" w:cs="Arial"/>
          <w:sz w:val="22"/>
          <w:szCs w:val="22"/>
        </w:rPr>
        <w:t>the Tribunal considers there is no reasonable prospect of the appellant's case, or part of it, succeeding.</w:t>
      </w:r>
    </w:p>
    <w:p w14:paraId="3B2C08FB" w14:textId="77777777" w:rsidR="0073360D" w:rsidRPr="00C4404B" w:rsidRDefault="0073360D" w:rsidP="0073360D">
      <w:pPr>
        <w:pStyle w:val="Default"/>
        <w:ind w:left="720"/>
        <w:rPr>
          <w:rFonts w:ascii="Arial" w:hAnsi="Arial" w:cs="Arial"/>
          <w:sz w:val="22"/>
          <w:szCs w:val="22"/>
        </w:rPr>
      </w:pPr>
    </w:p>
    <w:p w14:paraId="23616AF0" w14:textId="77777777" w:rsidR="0073360D" w:rsidRPr="001352D2" w:rsidRDefault="0073360D" w:rsidP="0073360D">
      <w:pPr>
        <w:autoSpaceDE w:val="0"/>
        <w:autoSpaceDN w:val="0"/>
        <w:adjustRightInd w:val="0"/>
        <w:ind w:left="720"/>
        <w:rPr>
          <w:rFonts w:ascii="Arial" w:hAnsi="Arial" w:cs="Arial"/>
          <w:color w:val="000000"/>
          <w:sz w:val="22"/>
          <w:szCs w:val="22"/>
        </w:rPr>
      </w:pPr>
      <w:r w:rsidRPr="00C4404B">
        <w:rPr>
          <w:rFonts w:ascii="Arial" w:hAnsi="Arial" w:cs="Arial"/>
          <w:color w:val="000000"/>
          <w:sz w:val="22"/>
          <w:szCs w:val="22"/>
        </w:rPr>
        <w:t xml:space="preserve">(4) </w:t>
      </w:r>
      <w:r>
        <w:rPr>
          <w:rFonts w:ascii="Arial" w:hAnsi="Arial" w:cs="Arial"/>
          <w:color w:val="000000"/>
          <w:sz w:val="22"/>
          <w:szCs w:val="22"/>
        </w:rPr>
        <w:tab/>
      </w:r>
      <w:r w:rsidRPr="00C4404B">
        <w:rPr>
          <w:rFonts w:ascii="Arial" w:hAnsi="Arial" w:cs="Arial"/>
          <w:color w:val="000000"/>
          <w:sz w:val="22"/>
          <w:szCs w:val="22"/>
        </w:rPr>
        <w:t xml:space="preserve">The Tribunal may not strike out the whole or a part of the proceedings under paragraph (2) </w:t>
      </w:r>
      <w:r w:rsidRPr="001352D2">
        <w:rPr>
          <w:rFonts w:ascii="Arial" w:hAnsi="Arial" w:cs="Arial"/>
          <w:color w:val="000000"/>
          <w:sz w:val="22"/>
          <w:szCs w:val="22"/>
        </w:rPr>
        <w:t>or (3)(b) or (c) without first giving the appellant an opportunity to make representations in relation</w:t>
      </w:r>
      <w:r w:rsidRPr="00C4404B">
        <w:rPr>
          <w:rFonts w:ascii="Arial" w:hAnsi="Arial" w:cs="Arial"/>
          <w:color w:val="000000"/>
          <w:sz w:val="22"/>
          <w:szCs w:val="22"/>
        </w:rPr>
        <w:t xml:space="preserve"> </w:t>
      </w:r>
      <w:r w:rsidRPr="001352D2">
        <w:rPr>
          <w:rFonts w:ascii="Arial" w:hAnsi="Arial" w:cs="Arial"/>
          <w:color w:val="000000"/>
          <w:sz w:val="22"/>
          <w:szCs w:val="22"/>
        </w:rPr>
        <w:t>to the proposed striking out.</w:t>
      </w:r>
    </w:p>
    <w:p w14:paraId="6B504649" w14:textId="77777777" w:rsidR="0073360D" w:rsidRPr="00C4404B" w:rsidRDefault="0073360D" w:rsidP="0073360D">
      <w:pPr>
        <w:autoSpaceDE w:val="0"/>
        <w:autoSpaceDN w:val="0"/>
        <w:adjustRightInd w:val="0"/>
        <w:ind w:left="720"/>
        <w:rPr>
          <w:rFonts w:ascii="Arial" w:hAnsi="Arial" w:cs="Arial"/>
          <w:color w:val="000000"/>
          <w:sz w:val="22"/>
          <w:szCs w:val="22"/>
        </w:rPr>
      </w:pPr>
    </w:p>
    <w:p w14:paraId="01A55B34" w14:textId="77777777" w:rsidR="0073360D" w:rsidRDefault="0073360D" w:rsidP="0073360D">
      <w:pPr>
        <w:autoSpaceDE w:val="0"/>
        <w:autoSpaceDN w:val="0"/>
        <w:adjustRightInd w:val="0"/>
        <w:ind w:left="720"/>
        <w:rPr>
          <w:rFonts w:ascii="Arial" w:hAnsi="Arial" w:cs="Arial"/>
          <w:color w:val="000000"/>
          <w:sz w:val="22"/>
          <w:szCs w:val="22"/>
        </w:rPr>
      </w:pPr>
      <w:r w:rsidRPr="001352D2">
        <w:rPr>
          <w:rFonts w:ascii="Arial" w:hAnsi="Arial" w:cs="Arial"/>
          <w:color w:val="000000"/>
          <w:sz w:val="22"/>
          <w:szCs w:val="22"/>
        </w:rPr>
        <w:t xml:space="preserve">(5) </w:t>
      </w:r>
      <w:r>
        <w:rPr>
          <w:rFonts w:ascii="Arial" w:hAnsi="Arial" w:cs="Arial"/>
          <w:color w:val="000000"/>
          <w:sz w:val="22"/>
          <w:szCs w:val="22"/>
        </w:rPr>
        <w:tab/>
      </w:r>
      <w:r w:rsidRPr="001352D2">
        <w:rPr>
          <w:rFonts w:ascii="Arial" w:hAnsi="Arial" w:cs="Arial"/>
          <w:color w:val="000000"/>
          <w:sz w:val="22"/>
          <w:szCs w:val="22"/>
        </w:rPr>
        <w:t>If the proceedings, or part of them, have been struck out under paragraph (1) or (3)(a), the</w:t>
      </w:r>
      <w:r w:rsidRPr="00C4404B">
        <w:rPr>
          <w:rFonts w:ascii="Arial" w:hAnsi="Arial" w:cs="Arial"/>
          <w:color w:val="000000"/>
          <w:sz w:val="22"/>
          <w:szCs w:val="22"/>
        </w:rPr>
        <w:t xml:space="preserve"> </w:t>
      </w:r>
      <w:r w:rsidRPr="001352D2">
        <w:rPr>
          <w:rFonts w:ascii="Arial" w:hAnsi="Arial" w:cs="Arial"/>
          <w:color w:val="000000"/>
          <w:sz w:val="22"/>
          <w:szCs w:val="22"/>
        </w:rPr>
        <w:t>appellant may apply for the proceedings, or part of them, to be reinstated.</w:t>
      </w:r>
    </w:p>
    <w:p w14:paraId="3FA896F5" w14:textId="77777777" w:rsidR="0073360D" w:rsidRPr="001352D2" w:rsidRDefault="0073360D" w:rsidP="0073360D">
      <w:pPr>
        <w:autoSpaceDE w:val="0"/>
        <w:autoSpaceDN w:val="0"/>
        <w:adjustRightInd w:val="0"/>
        <w:ind w:left="720"/>
        <w:rPr>
          <w:rFonts w:ascii="Arial" w:hAnsi="Arial" w:cs="Arial"/>
          <w:color w:val="000000"/>
          <w:sz w:val="22"/>
          <w:szCs w:val="22"/>
        </w:rPr>
      </w:pPr>
    </w:p>
    <w:p w14:paraId="41B41045" w14:textId="1A31F0E5" w:rsidR="0073360D" w:rsidRDefault="0073360D" w:rsidP="0073360D">
      <w:pPr>
        <w:autoSpaceDE w:val="0"/>
        <w:autoSpaceDN w:val="0"/>
        <w:adjustRightInd w:val="0"/>
        <w:ind w:left="720"/>
        <w:rPr>
          <w:rFonts w:ascii="Arial" w:hAnsi="Arial" w:cs="Arial"/>
          <w:color w:val="000000"/>
          <w:sz w:val="22"/>
          <w:szCs w:val="22"/>
        </w:rPr>
      </w:pPr>
      <w:r w:rsidRPr="001352D2">
        <w:rPr>
          <w:rFonts w:ascii="Arial" w:hAnsi="Arial" w:cs="Arial"/>
          <w:color w:val="000000"/>
          <w:sz w:val="22"/>
          <w:szCs w:val="22"/>
        </w:rPr>
        <w:t xml:space="preserve">(6) </w:t>
      </w:r>
      <w:r>
        <w:rPr>
          <w:rFonts w:ascii="Arial" w:hAnsi="Arial" w:cs="Arial"/>
          <w:color w:val="000000"/>
          <w:sz w:val="22"/>
          <w:szCs w:val="22"/>
        </w:rPr>
        <w:t>……</w:t>
      </w:r>
      <w:r w:rsidR="00484388">
        <w:rPr>
          <w:rFonts w:ascii="Arial" w:hAnsi="Arial" w:cs="Arial"/>
          <w:color w:val="000000"/>
          <w:sz w:val="22"/>
          <w:szCs w:val="22"/>
        </w:rPr>
        <w:t>n/a.</w:t>
      </w:r>
      <w:r>
        <w:rPr>
          <w:rFonts w:ascii="Arial" w:hAnsi="Arial" w:cs="Arial"/>
          <w:color w:val="000000"/>
          <w:sz w:val="22"/>
          <w:szCs w:val="22"/>
        </w:rPr>
        <w:t xml:space="preserve"> </w:t>
      </w:r>
    </w:p>
    <w:p w14:paraId="33E0EF26" w14:textId="77777777" w:rsidR="0073360D" w:rsidRPr="00C4404B" w:rsidRDefault="0073360D" w:rsidP="0073360D">
      <w:pPr>
        <w:autoSpaceDE w:val="0"/>
        <w:autoSpaceDN w:val="0"/>
        <w:adjustRightInd w:val="0"/>
        <w:ind w:left="720"/>
        <w:rPr>
          <w:rFonts w:ascii="Arial" w:hAnsi="Arial" w:cs="Arial"/>
          <w:color w:val="000000"/>
          <w:sz w:val="22"/>
          <w:szCs w:val="22"/>
        </w:rPr>
      </w:pPr>
    </w:p>
    <w:p w14:paraId="5743549A" w14:textId="77777777" w:rsidR="0073360D" w:rsidRPr="001352D2" w:rsidRDefault="0073360D" w:rsidP="0073360D">
      <w:pPr>
        <w:autoSpaceDE w:val="0"/>
        <w:autoSpaceDN w:val="0"/>
        <w:adjustRightInd w:val="0"/>
        <w:ind w:left="720"/>
        <w:rPr>
          <w:rFonts w:ascii="Arial" w:hAnsi="Arial" w:cs="Arial"/>
          <w:color w:val="000000"/>
          <w:sz w:val="22"/>
          <w:szCs w:val="22"/>
        </w:rPr>
      </w:pPr>
      <w:r w:rsidRPr="001352D2">
        <w:rPr>
          <w:rFonts w:ascii="Arial" w:hAnsi="Arial" w:cs="Arial"/>
          <w:color w:val="000000"/>
          <w:sz w:val="22"/>
          <w:szCs w:val="22"/>
        </w:rPr>
        <w:t>(7) This rule applies to a respondent as it applies to an appellant except that—</w:t>
      </w:r>
    </w:p>
    <w:p w14:paraId="4D1182F1" w14:textId="77777777" w:rsidR="0073360D" w:rsidRPr="00C4404B" w:rsidRDefault="0073360D" w:rsidP="0073360D">
      <w:pPr>
        <w:numPr>
          <w:ilvl w:val="0"/>
          <w:numId w:val="33"/>
        </w:numPr>
        <w:autoSpaceDE w:val="0"/>
        <w:autoSpaceDN w:val="0"/>
        <w:adjustRightInd w:val="0"/>
        <w:ind w:left="720"/>
        <w:rPr>
          <w:rFonts w:ascii="Arial" w:hAnsi="Arial" w:cs="Arial"/>
          <w:color w:val="000000"/>
          <w:sz w:val="22"/>
          <w:szCs w:val="22"/>
        </w:rPr>
      </w:pPr>
    </w:p>
    <w:p w14:paraId="33D94014" w14:textId="77777777" w:rsidR="0073360D" w:rsidRPr="001352D2" w:rsidRDefault="0073360D" w:rsidP="0073360D">
      <w:pPr>
        <w:autoSpaceDE w:val="0"/>
        <w:autoSpaceDN w:val="0"/>
        <w:adjustRightInd w:val="0"/>
        <w:ind w:left="1701" w:hanging="425"/>
        <w:rPr>
          <w:rFonts w:ascii="Arial" w:hAnsi="Arial" w:cs="Arial"/>
          <w:color w:val="000000"/>
          <w:sz w:val="22"/>
          <w:szCs w:val="22"/>
        </w:rPr>
      </w:pPr>
      <w:r w:rsidRPr="00C4404B">
        <w:rPr>
          <w:rFonts w:ascii="Arial" w:hAnsi="Arial" w:cs="Arial"/>
          <w:color w:val="000000"/>
          <w:sz w:val="22"/>
          <w:szCs w:val="22"/>
        </w:rPr>
        <w:t xml:space="preserve">(a) </w:t>
      </w:r>
      <w:r>
        <w:rPr>
          <w:rFonts w:ascii="Arial" w:hAnsi="Arial" w:cs="Arial"/>
          <w:color w:val="000000"/>
          <w:sz w:val="22"/>
          <w:szCs w:val="22"/>
        </w:rPr>
        <w:tab/>
      </w:r>
      <w:r w:rsidRPr="001352D2">
        <w:rPr>
          <w:rFonts w:ascii="Arial" w:hAnsi="Arial" w:cs="Arial"/>
          <w:color w:val="000000"/>
          <w:sz w:val="22"/>
          <w:szCs w:val="22"/>
        </w:rPr>
        <w:t>a reference to the striking out of the proceedings is to be read as a reference to the barring</w:t>
      </w:r>
      <w:r w:rsidRPr="00C4404B">
        <w:rPr>
          <w:rFonts w:ascii="Arial" w:hAnsi="Arial" w:cs="Arial"/>
          <w:color w:val="000000"/>
          <w:sz w:val="22"/>
          <w:szCs w:val="22"/>
        </w:rPr>
        <w:t xml:space="preserve"> </w:t>
      </w:r>
      <w:r w:rsidRPr="001352D2">
        <w:rPr>
          <w:rFonts w:ascii="Arial" w:hAnsi="Arial" w:cs="Arial"/>
          <w:color w:val="000000"/>
          <w:sz w:val="22"/>
          <w:szCs w:val="22"/>
        </w:rPr>
        <w:t>of the respondent from taking further part in the proceedings; and</w:t>
      </w:r>
    </w:p>
    <w:p w14:paraId="307C01A7" w14:textId="77777777" w:rsidR="0073360D" w:rsidRPr="001352D2" w:rsidRDefault="0073360D" w:rsidP="0073360D">
      <w:pPr>
        <w:autoSpaceDE w:val="0"/>
        <w:autoSpaceDN w:val="0"/>
        <w:adjustRightInd w:val="0"/>
        <w:ind w:left="1701" w:hanging="425"/>
        <w:rPr>
          <w:rFonts w:ascii="Arial" w:hAnsi="Arial" w:cs="Arial"/>
          <w:color w:val="000000"/>
          <w:sz w:val="22"/>
          <w:szCs w:val="22"/>
        </w:rPr>
      </w:pPr>
      <w:r w:rsidRPr="00C4404B">
        <w:rPr>
          <w:rFonts w:ascii="Arial" w:hAnsi="Arial" w:cs="Arial"/>
          <w:color w:val="000000"/>
          <w:sz w:val="22"/>
          <w:szCs w:val="22"/>
        </w:rPr>
        <w:t xml:space="preserve">(b) </w:t>
      </w:r>
      <w:r>
        <w:rPr>
          <w:rFonts w:ascii="Arial" w:hAnsi="Arial" w:cs="Arial"/>
          <w:color w:val="000000"/>
          <w:sz w:val="22"/>
          <w:szCs w:val="22"/>
        </w:rPr>
        <w:tab/>
      </w:r>
      <w:r w:rsidRPr="001352D2">
        <w:rPr>
          <w:rFonts w:ascii="Arial" w:hAnsi="Arial" w:cs="Arial"/>
          <w:color w:val="000000"/>
          <w:sz w:val="22"/>
          <w:szCs w:val="22"/>
        </w:rPr>
        <w:t>a reference to an application for the reinstatement of proceedings which have been struck</w:t>
      </w:r>
      <w:r w:rsidRPr="00C4404B">
        <w:rPr>
          <w:rFonts w:ascii="Arial" w:hAnsi="Arial" w:cs="Arial"/>
          <w:color w:val="000000"/>
          <w:sz w:val="22"/>
          <w:szCs w:val="22"/>
        </w:rPr>
        <w:t xml:space="preserve"> </w:t>
      </w:r>
      <w:r w:rsidRPr="001352D2">
        <w:rPr>
          <w:rFonts w:ascii="Arial" w:hAnsi="Arial" w:cs="Arial"/>
          <w:color w:val="000000"/>
          <w:sz w:val="22"/>
          <w:szCs w:val="22"/>
        </w:rPr>
        <w:t>out is to be read as a reference to an application for the lifting of the bar on the respondent</w:t>
      </w:r>
      <w:r w:rsidRPr="00C4404B">
        <w:rPr>
          <w:rFonts w:ascii="Arial" w:hAnsi="Arial" w:cs="Arial"/>
          <w:color w:val="000000"/>
          <w:sz w:val="22"/>
          <w:szCs w:val="22"/>
        </w:rPr>
        <w:t xml:space="preserve"> </w:t>
      </w:r>
      <w:r w:rsidRPr="001352D2">
        <w:rPr>
          <w:rFonts w:ascii="Arial" w:hAnsi="Arial" w:cs="Arial"/>
          <w:color w:val="000000"/>
          <w:sz w:val="22"/>
          <w:szCs w:val="22"/>
        </w:rPr>
        <w:t>from taking further part in the proceedings.</w:t>
      </w:r>
    </w:p>
    <w:p w14:paraId="20583AF6" w14:textId="77777777" w:rsidR="0073360D" w:rsidRPr="001352D2" w:rsidRDefault="0073360D" w:rsidP="0073360D">
      <w:pPr>
        <w:autoSpaceDE w:val="0"/>
        <w:autoSpaceDN w:val="0"/>
        <w:adjustRightInd w:val="0"/>
        <w:ind w:left="720"/>
        <w:rPr>
          <w:rFonts w:ascii="Arial" w:hAnsi="Arial" w:cs="Arial"/>
          <w:color w:val="000000"/>
          <w:sz w:val="22"/>
          <w:szCs w:val="22"/>
        </w:rPr>
      </w:pPr>
    </w:p>
    <w:p w14:paraId="73DABA4B" w14:textId="77777777" w:rsidR="0073360D" w:rsidRPr="00C4404B" w:rsidRDefault="0073360D" w:rsidP="0073360D">
      <w:pPr>
        <w:ind w:left="720"/>
        <w:rPr>
          <w:rFonts w:ascii="Arial" w:hAnsi="Arial" w:cs="Arial"/>
          <w:sz w:val="22"/>
          <w:szCs w:val="22"/>
        </w:rPr>
      </w:pPr>
      <w:r w:rsidRPr="00C4404B">
        <w:rPr>
          <w:rFonts w:ascii="Arial" w:hAnsi="Arial" w:cs="Arial"/>
          <w:color w:val="000000"/>
          <w:sz w:val="22"/>
          <w:szCs w:val="22"/>
        </w:rPr>
        <w:t>(8) If a respondent has been barred from taking further part in proceedings under this rule and that bar has not been lifted, the Tribunal need not consider any response or other submission made by that respondent and may summarily determine any or all issues against that respondent.</w:t>
      </w:r>
    </w:p>
    <w:p w14:paraId="2929C1AA" w14:textId="77777777" w:rsidR="0073360D" w:rsidRDefault="0073360D" w:rsidP="0073360D">
      <w:pPr>
        <w:pStyle w:val="ListParagraph"/>
        <w:tabs>
          <w:tab w:val="left" w:pos="709"/>
        </w:tabs>
        <w:jc w:val="both"/>
        <w:rPr>
          <w:rFonts w:ascii="Arial" w:hAnsi="Arial" w:cs="Arial"/>
          <w:sz w:val="22"/>
          <w:szCs w:val="22"/>
        </w:rPr>
      </w:pPr>
    </w:p>
    <w:p w14:paraId="7D4BDCD1" w14:textId="77777777" w:rsidR="009E5A4C" w:rsidRDefault="009E5A4C" w:rsidP="0073360D">
      <w:pPr>
        <w:pStyle w:val="ListParagraph"/>
        <w:tabs>
          <w:tab w:val="left" w:pos="709"/>
        </w:tabs>
        <w:ind w:left="0"/>
        <w:jc w:val="both"/>
        <w:rPr>
          <w:rFonts w:ascii="Arial" w:hAnsi="Arial" w:cs="Arial"/>
          <w:sz w:val="22"/>
          <w:szCs w:val="22"/>
        </w:rPr>
      </w:pPr>
    </w:p>
    <w:p w14:paraId="15BEAC09" w14:textId="330A5217" w:rsidR="009E5A4C" w:rsidRPr="004358AA" w:rsidRDefault="004358AA" w:rsidP="00F2301A">
      <w:pPr>
        <w:pStyle w:val="ListParagraph"/>
        <w:numPr>
          <w:ilvl w:val="0"/>
          <w:numId w:val="3"/>
        </w:numPr>
        <w:tabs>
          <w:tab w:val="left" w:pos="567"/>
        </w:tabs>
        <w:ind w:left="720"/>
        <w:jc w:val="both"/>
        <w:rPr>
          <w:rFonts w:ascii="Arial" w:hAnsi="Arial" w:cs="Arial"/>
          <w:sz w:val="22"/>
          <w:szCs w:val="22"/>
        </w:rPr>
      </w:pPr>
      <w:r>
        <w:rPr>
          <w:rFonts w:ascii="Arial" w:hAnsi="Arial" w:cs="Arial"/>
          <w:sz w:val="22"/>
          <w:szCs w:val="22"/>
        </w:rPr>
        <w:t>Rule 18, sets out the</w:t>
      </w:r>
      <w:r w:rsidR="000905D7">
        <w:rPr>
          <w:rFonts w:ascii="Arial" w:hAnsi="Arial" w:cs="Arial"/>
          <w:sz w:val="22"/>
          <w:szCs w:val="22"/>
        </w:rPr>
        <w:t xml:space="preserve"> Tribunal’s power</w:t>
      </w:r>
      <w:r w:rsidR="00137521">
        <w:rPr>
          <w:rFonts w:ascii="Arial" w:hAnsi="Arial" w:cs="Arial"/>
          <w:sz w:val="22"/>
          <w:szCs w:val="22"/>
        </w:rPr>
        <w:t xml:space="preserve"> to</w:t>
      </w:r>
      <w:r>
        <w:rPr>
          <w:rFonts w:ascii="Arial" w:hAnsi="Arial" w:cs="Arial"/>
          <w:sz w:val="22"/>
          <w:szCs w:val="22"/>
        </w:rPr>
        <w:t xml:space="preserve"> list “lead cases” and provides:</w:t>
      </w:r>
    </w:p>
    <w:p w14:paraId="74EE7428" w14:textId="77777777" w:rsidR="009E5A4C" w:rsidRPr="009E5A4C" w:rsidRDefault="009E5A4C" w:rsidP="009E5A4C">
      <w:pPr>
        <w:tabs>
          <w:tab w:val="left" w:pos="709"/>
        </w:tabs>
        <w:jc w:val="both"/>
        <w:rPr>
          <w:rFonts w:ascii="Arial" w:hAnsi="Arial" w:cs="Arial"/>
          <w:sz w:val="22"/>
          <w:szCs w:val="22"/>
        </w:rPr>
      </w:pPr>
    </w:p>
    <w:p w14:paraId="70A0FEAD" w14:textId="12041492" w:rsidR="002C6D98" w:rsidRPr="008009E6" w:rsidRDefault="002C6D98" w:rsidP="001F205B">
      <w:pPr>
        <w:pStyle w:val="ListParagraph"/>
        <w:autoSpaceDE w:val="0"/>
        <w:autoSpaceDN w:val="0"/>
        <w:adjustRightInd w:val="0"/>
        <w:ind w:left="993" w:right="521"/>
        <w:rPr>
          <w:rFonts w:ascii="Arial" w:hAnsi="Arial" w:cs="Arial"/>
          <w:b/>
          <w:bCs/>
          <w:sz w:val="22"/>
          <w:szCs w:val="22"/>
        </w:rPr>
      </w:pPr>
      <w:r w:rsidRPr="008009E6">
        <w:rPr>
          <w:rFonts w:ascii="Arial" w:hAnsi="Arial" w:cs="Arial"/>
          <w:b/>
          <w:bCs/>
          <w:sz w:val="22"/>
          <w:szCs w:val="22"/>
        </w:rPr>
        <w:t>Lead cases</w:t>
      </w:r>
    </w:p>
    <w:p w14:paraId="6B573033" w14:textId="77777777" w:rsidR="002C6D98" w:rsidRPr="008009E6" w:rsidRDefault="002C6D98" w:rsidP="001F205B">
      <w:pPr>
        <w:pStyle w:val="ListParagraph"/>
        <w:autoSpaceDE w:val="0"/>
        <w:autoSpaceDN w:val="0"/>
        <w:adjustRightInd w:val="0"/>
        <w:ind w:left="993" w:right="521"/>
        <w:rPr>
          <w:rFonts w:ascii="Arial" w:hAnsi="Arial" w:cs="Arial"/>
          <w:b/>
          <w:bCs/>
          <w:sz w:val="22"/>
          <w:szCs w:val="22"/>
        </w:rPr>
      </w:pPr>
    </w:p>
    <w:p w14:paraId="0AE11063" w14:textId="77777777" w:rsidR="002C6D98" w:rsidRPr="008009E6" w:rsidRDefault="002C6D98" w:rsidP="001F205B">
      <w:pPr>
        <w:pStyle w:val="ListParagraph"/>
        <w:autoSpaceDE w:val="0"/>
        <w:autoSpaceDN w:val="0"/>
        <w:adjustRightInd w:val="0"/>
        <w:ind w:left="993" w:right="522"/>
        <w:rPr>
          <w:rFonts w:ascii="Arial" w:eastAsia="TimesNewRoman" w:hAnsi="Arial" w:cs="Arial"/>
          <w:sz w:val="22"/>
          <w:szCs w:val="22"/>
        </w:rPr>
      </w:pPr>
      <w:r w:rsidRPr="008009E6">
        <w:rPr>
          <w:rFonts w:ascii="Arial" w:hAnsi="Arial" w:cs="Arial"/>
          <w:b/>
          <w:bCs/>
          <w:sz w:val="22"/>
          <w:szCs w:val="22"/>
        </w:rPr>
        <w:t>18.</w:t>
      </w:r>
      <w:r w:rsidRPr="008009E6">
        <w:rPr>
          <w:rFonts w:ascii="Arial" w:eastAsia="TimesNewRoman" w:hAnsi="Arial" w:cs="Arial"/>
          <w:sz w:val="22"/>
          <w:szCs w:val="22"/>
        </w:rPr>
        <w:t>—(1) This rule applies if—</w:t>
      </w:r>
    </w:p>
    <w:p w14:paraId="2F6FC4E9" w14:textId="35D5C358" w:rsidR="002C6D98" w:rsidRPr="008009E6" w:rsidRDefault="002C6D98" w:rsidP="002E3E15">
      <w:pPr>
        <w:pStyle w:val="ListParagraph"/>
        <w:autoSpaceDE w:val="0"/>
        <w:autoSpaceDN w:val="0"/>
        <w:adjustRightInd w:val="0"/>
        <w:ind w:left="2268" w:right="522" w:hanging="425"/>
        <w:rPr>
          <w:rFonts w:ascii="Arial" w:eastAsia="TimesNewRoman" w:hAnsi="Arial" w:cs="Arial"/>
          <w:sz w:val="22"/>
          <w:szCs w:val="22"/>
        </w:rPr>
      </w:pPr>
      <w:r w:rsidRPr="008009E6">
        <w:rPr>
          <w:rFonts w:ascii="Arial" w:eastAsia="TimesNewRoman" w:hAnsi="Arial" w:cs="Arial"/>
          <w:sz w:val="22"/>
          <w:szCs w:val="22"/>
        </w:rPr>
        <w:t xml:space="preserve">(a) </w:t>
      </w:r>
      <w:r w:rsidR="002E3E15">
        <w:rPr>
          <w:rFonts w:ascii="Arial" w:eastAsia="TimesNewRoman" w:hAnsi="Arial" w:cs="Arial"/>
          <w:sz w:val="22"/>
          <w:szCs w:val="22"/>
        </w:rPr>
        <w:tab/>
      </w:r>
      <w:r w:rsidRPr="008009E6">
        <w:rPr>
          <w:rFonts w:ascii="Arial" w:eastAsia="TimesNewRoman" w:hAnsi="Arial" w:cs="Arial"/>
          <w:sz w:val="22"/>
          <w:szCs w:val="22"/>
        </w:rPr>
        <w:t>two or more cases have been started before the Tribunal;</w:t>
      </w:r>
    </w:p>
    <w:p w14:paraId="6DE1F961" w14:textId="64B3E65A" w:rsidR="002C6D98" w:rsidRPr="008009E6" w:rsidRDefault="002C6D98" w:rsidP="002E3E15">
      <w:pPr>
        <w:pStyle w:val="ListParagraph"/>
        <w:autoSpaceDE w:val="0"/>
        <w:autoSpaceDN w:val="0"/>
        <w:adjustRightInd w:val="0"/>
        <w:ind w:left="2268" w:right="522" w:hanging="425"/>
        <w:rPr>
          <w:rFonts w:ascii="Arial" w:eastAsia="TimesNewRoman" w:hAnsi="Arial" w:cs="Arial"/>
          <w:sz w:val="22"/>
          <w:szCs w:val="22"/>
        </w:rPr>
      </w:pPr>
      <w:r w:rsidRPr="008009E6">
        <w:rPr>
          <w:rFonts w:ascii="Arial" w:eastAsia="TimesNewRoman" w:hAnsi="Arial" w:cs="Arial"/>
          <w:sz w:val="22"/>
          <w:szCs w:val="22"/>
        </w:rPr>
        <w:t xml:space="preserve">(b) </w:t>
      </w:r>
      <w:r w:rsidR="002E3E15">
        <w:rPr>
          <w:rFonts w:ascii="Arial" w:eastAsia="TimesNewRoman" w:hAnsi="Arial" w:cs="Arial"/>
          <w:sz w:val="22"/>
          <w:szCs w:val="22"/>
        </w:rPr>
        <w:tab/>
      </w:r>
      <w:r w:rsidRPr="008009E6">
        <w:rPr>
          <w:rFonts w:ascii="Arial" w:eastAsia="TimesNewRoman" w:hAnsi="Arial" w:cs="Arial"/>
          <w:sz w:val="22"/>
          <w:szCs w:val="22"/>
        </w:rPr>
        <w:t>in each such case the Tribunal has not made a decision disposing of the proceedings; and</w:t>
      </w:r>
    </w:p>
    <w:p w14:paraId="1128FD2C" w14:textId="6498ED4D" w:rsidR="002C6D98" w:rsidRPr="008009E6" w:rsidRDefault="002C6D98" w:rsidP="002E3E15">
      <w:pPr>
        <w:pStyle w:val="ListParagraph"/>
        <w:autoSpaceDE w:val="0"/>
        <w:autoSpaceDN w:val="0"/>
        <w:adjustRightInd w:val="0"/>
        <w:ind w:left="2268" w:right="522" w:hanging="425"/>
        <w:rPr>
          <w:rFonts w:ascii="Arial" w:eastAsia="TimesNewRoman" w:hAnsi="Arial" w:cs="Arial"/>
          <w:sz w:val="22"/>
          <w:szCs w:val="22"/>
        </w:rPr>
      </w:pPr>
      <w:r w:rsidRPr="008009E6">
        <w:rPr>
          <w:rFonts w:ascii="Arial" w:eastAsia="TimesNewRoman" w:hAnsi="Arial" w:cs="Arial"/>
          <w:sz w:val="22"/>
          <w:szCs w:val="22"/>
        </w:rPr>
        <w:t xml:space="preserve">(c) </w:t>
      </w:r>
      <w:r w:rsidR="002E3E15">
        <w:rPr>
          <w:rFonts w:ascii="Arial" w:eastAsia="TimesNewRoman" w:hAnsi="Arial" w:cs="Arial"/>
          <w:sz w:val="22"/>
          <w:szCs w:val="22"/>
        </w:rPr>
        <w:tab/>
      </w:r>
      <w:r w:rsidRPr="008009E6">
        <w:rPr>
          <w:rFonts w:ascii="Arial" w:eastAsia="TimesNewRoman" w:hAnsi="Arial" w:cs="Arial"/>
          <w:sz w:val="22"/>
          <w:szCs w:val="22"/>
        </w:rPr>
        <w:t>the cases give rise to common or related issues of fact or law.</w:t>
      </w:r>
    </w:p>
    <w:p w14:paraId="6C852912" w14:textId="77777777" w:rsidR="002C6D98" w:rsidRPr="008009E6" w:rsidRDefault="002C6D98" w:rsidP="002E3E15">
      <w:pPr>
        <w:pStyle w:val="ListParagraph"/>
        <w:autoSpaceDE w:val="0"/>
        <w:autoSpaceDN w:val="0"/>
        <w:adjustRightInd w:val="0"/>
        <w:ind w:left="1843" w:right="522"/>
        <w:rPr>
          <w:rFonts w:ascii="Arial" w:eastAsia="TimesNewRoman" w:hAnsi="Arial" w:cs="Arial"/>
          <w:sz w:val="22"/>
          <w:szCs w:val="22"/>
        </w:rPr>
      </w:pPr>
    </w:p>
    <w:p w14:paraId="4B857832" w14:textId="77777777" w:rsidR="002C6D98" w:rsidRPr="008009E6" w:rsidRDefault="002C6D98" w:rsidP="002E3E15">
      <w:pPr>
        <w:pStyle w:val="ListParagraph"/>
        <w:autoSpaceDE w:val="0"/>
        <w:autoSpaceDN w:val="0"/>
        <w:adjustRightInd w:val="0"/>
        <w:ind w:left="1418" w:right="522"/>
        <w:rPr>
          <w:rFonts w:ascii="Arial" w:eastAsia="TimesNewRoman" w:hAnsi="Arial" w:cs="Arial"/>
          <w:sz w:val="22"/>
          <w:szCs w:val="22"/>
        </w:rPr>
      </w:pPr>
      <w:r w:rsidRPr="008009E6">
        <w:rPr>
          <w:rFonts w:ascii="Arial" w:eastAsia="TimesNewRoman" w:hAnsi="Arial" w:cs="Arial"/>
          <w:sz w:val="22"/>
          <w:szCs w:val="22"/>
        </w:rPr>
        <w:t>(2) The Tribunal may give a direction—</w:t>
      </w:r>
    </w:p>
    <w:p w14:paraId="55BB92D3" w14:textId="10B23DDD" w:rsidR="002C6D98" w:rsidRPr="008009E6" w:rsidRDefault="002C6D98" w:rsidP="002E3E15">
      <w:pPr>
        <w:pStyle w:val="ListParagraph"/>
        <w:autoSpaceDE w:val="0"/>
        <w:autoSpaceDN w:val="0"/>
        <w:adjustRightInd w:val="0"/>
        <w:ind w:left="2268" w:right="521" w:hanging="425"/>
        <w:rPr>
          <w:rFonts w:ascii="Arial" w:eastAsia="TimesNewRoman" w:hAnsi="Arial" w:cs="Arial"/>
          <w:sz w:val="22"/>
          <w:szCs w:val="22"/>
        </w:rPr>
      </w:pPr>
      <w:r w:rsidRPr="008009E6">
        <w:rPr>
          <w:rFonts w:ascii="Arial" w:eastAsia="TimesNewRoman" w:hAnsi="Arial" w:cs="Arial"/>
          <w:sz w:val="22"/>
          <w:szCs w:val="22"/>
        </w:rPr>
        <w:t xml:space="preserve">(a) </w:t>
      </w:r>
      <w:r w:rsidR="002E3E15">
        <w:rPr>
          <w:rFonts w:ascii="Arial" w:eastAsia="TimesNewRoman" w:hAnsi="Arial" w:cs="Arial"/>
          <w:sz w:val="22"/>
          <w:szCs w:val="22"/>
        </w:rPr>
        <w:tab/>
      </w:r>
      <w:r w:rsidRPr="008009E6">
        <w:rPr>
          <w:rFonts w:ascii="Arial" w:eastAsia="TimesNewRoman" w:hAnsi="Arial" w:cs="Arial"/>
          <w:sz w:val="22"/>
          <w:szCs w:val="22"/>
        </w:rPr>
        <w:t>specifying one or more cases falling under paragraph (1) as a lead case or lead cases; and</w:t>
      </w:r>
    </w:p>
    <w:p w14:paraId="17FC90BB" w14:textId="04B31C7D" w:rsidR="002C6D98" w:rsidRPr="008009E6" w:rsidRDefault="002C6D98" w:rsidP="002E3E15">
      <w:pPr>
        <w:pStyle w:val="ListParagraph"/>
        <w:autoSpaceDE w:val="0"/>
        <w:autoSpaceDN w:val="0"/>
        <w:adjustRightInd w:val="0"/>
        <w:ind w:left="2268" w:right="521" w:hanging="425"/>
        <w:rPr>
          <w:rFonts w:ascii="Arial" w:eastAsia="TimesNewRoman" w:hAnsi="Arial" w:cs="Arial"/>
          <w:sz w:val="22"/>
          <w:szCs w:val="22"/>
        </w:rPr>
      </w:pPr>
      <w:r w:rsidRPr="008009E6">
        <w:rPr>
          <w:rFonts w:ascii="Arial" w:eastAsia="TimesNewRoman" w:hAnsi="Arial" w:cs="Arial"/>
          <w:sz w:val="22"/>
          <w:szCs w:val="22"/>
        </w:rPr>
        <w:t xml:space="preserve">(b) </w:t>
      </w:r>
      <w:r w:rsidR="002E3E15">
        <w:rPr>
          <w:rFonts w:ascii="Arial" w:eastAsia="TimesNewRoman" w:hAnsi="Arial" w:cs="Arial"/>
          <w:sz w:val="22"/>
          <w:szCs w:val="22"/>
        </w:rPr>
        <w:tab/>
      </w:r>
      <w:r w:rsidRPr="008009E6">
        <w:rPr>
          <w:rFonts w:ascii="Arial" w:eastAsia="TimesNewRoman" w:hAnsi="Arial" w:cs="Arial"/>
          <w:sz w:val="22"/>
          <w:szCs w:val="22"/>
        </w:rPr>
        <w:t xml:space="preserve">staying (or, in Scotland, </w:t>
      </w:r>
      <w:proofErr w:type="spellStart"/>
      <w:r w:rsidRPr="008009E6">
        <w:rPr>
          <w:rFonts w:ascii="Arial" w:eastAsia="TimesNewRoman" w:hAnsi="Arial" w:cs="Arial"/>
          <w:sz w:val="22"/>
          <w:szCs w:val="22"/>
        </w:rPr>
        <w:t>sisting</w:t>
      </w:r>
      <w:proofErr w:type="spellEnd"/>
      <w:r w:rsidRPr="008009E6">
        <w:rPr>
          <w:rFonts w:ascii="Arial" w:eastAsia="TimesNewRoman" w:hAnsi="Arial" w:cs="Arial"/>
          <w:sz w:val="22"/>
          <w:szCs w:val="22"/>
        </w:rPr>
        <w:t>) the other cases falling under paragraph (1) (“the related cases”).</w:t>
      </w:r>
    </w:p>
    <w:p w14:paraId="4F4914DF"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p>
    <w:p w14:paraId="41B29F08"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r w:rsidRPr="008009E6">
        <w:rPr>
          <w:rFonts w:ascii="Arial" w:eastAsia="TimesNewRoman" w:hAnsi="Arial" w:cs="Arial"/>
          <w:sz w:val="22"/>
          <w:szCs w:val="22"/>
        </w:rPr>
        <w:t>(3) When the Tribunal makes a decision in respect of the common or related issues—</w:t>
      </w:r>
    </w:p>
    <w:p w14:paraId="7C8BBE95" w14:textId="05B30F82" w:rsidR="002C6D98" w:rsidRPr="008009E6" w:rsidRDefault="002C6D98" w:rsidP="002E3E15">
      <w:pPr>
        <w:pStyle w:val="ListParagraph"/>
        <w:autoSpaceDE w:val="0"/>
        <w:autoSpaceDN w:val="0"/>
        <w:adjustRightInd w:val="0"/>
        <w:ind w:left="2268" w:right="521" w:hanging="425"/>
        <w:rPr>
          <w:rFonts w:ascii="Arial" w:eastAsia="TimesNewRoman" w:hAnsi="Arial" w:cs="Arial"/>
          <w:sz w:val="22"/>
          <w:szCs w:val="22"/>
        </w:rPr>
      </w:pPr>
      <w:r w:rsidRPr="008009E6">
        <w:rPr>
          <w:rFonts w:ascii="Arial" w:eastAsia="TimesNewRoman" w:hAnsi="Arial" w:cs="Arial"/>
          <w:sz w:val="22"/>
          <w:szCs w:val="22"/>
        </w:rPr>
        <w:t xml:space="preserve">(a) </w:t>
      </w:r>
      <w:r w:rsidR="002E3E15">
        <w:rPr>
          <w:rFonts w:ascii="Arial" w:eastAsia="TimesNewRoman" w:hAnsi="Arial" w:cs="Arial"/>
          <w:sz w:val="22"/>
          <w:szCs w:val="22"/>
        </w:rPr>
        <w:tab/>
      </w:r>
      <w:r w:rsidRPr="008009E6">
        <w:rPr>
          <w:rFonts w:ascii="Arial" w:eastAsia="TimesNewRoman" w:hAnsi="Arial" w:cs="Arial"/>
          <w:sz w:val="22"/>
          <w:szCs w:val="22"/>
        </w:rPr>
        <w:t>the Tribunal must send a copy of that decision to each party in each of the related cases; and</w:t>
      </w:r>
    </w:p>
    <w:p w14:paraId="181B61AD" w14:textId="4166A380" w:rsidR="002C6D98" w:rsidRPr="008009E6" w:rsidRDefault="002C6D98" w:rsidP="002E3E15">
      <w:pPr>
        <w:pStyle w:val="ListParagraph"/>
        <w:autoSpaceDE w:val="0"/>
        <w:autoSpaceDN w:val="0"/>
        <w:adjustRightInd w:val="0"/>
        <w:ind w:left="2268" w:right="521" w:hanging="425"/>
        <w:rPr>
          <w:rFonts w:ascii="Arial" w:eastAsia="TimesNewRoman" w:hAnsi="Arial" w:cs="Arial"/>
          <w:sz w:val="22"/>
          <w:szCs w:val="22"/>
        </w:rPr>
      </w:pPr>
      <w:r w:rsidRPr="008009E6">
        <w:rPr>
          <w:rFonts w:ascii="Arial" w:eastAsia="TimesNewRoman" w:hAnsi="Arial" w:cs="Arial"/>
          <w:sz w:val="22"/>
          <w:szCs w:val="22"/>
        </w:rPr>
        <w:t xml:space="preserve">(b) </w:t>
      </w:r>
      <w:r w:rsidR="002E3E15">
        <w:rPr>
          <w:rFonts w:ascii="Arial" w:eastAsia="TimesNewRoman" w:hAnsi="Arial" w:cs="Arial"/>
          <w:sz w:val="22"/>
          <w:szCs w:val="22"/>
        </w:rPr>
        <w:tab/>
      </w:r>
      <w:r w:rsidRPr="008009E6">
        <w:rPr>
          <w:rFonts w:ascii="Arial" w:eastAsia="TimesNewRoman" w:hAnsi="Arial" w:cs="Arial"/>
          <w:sz w:val="22"/>
          <w:szCs w:val="22"/>
        </w:rPr>
        <w:t>subject to paragraph (4), that decision shall be binding on each of those parties.</w:t>
      </w:r>
    </w:p>
    <w:p w14:paraId="6D7EF3F3"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p>
    <w:p w14:paraId="3A61A3C5"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r w:rsidRPr="008009E6">
        <w:rPr>
          <w:rFonts w:ascii="Arial" w:eastAsia="TimesNewRoman" w:hAnsi="Arial" w:cs="Arial"/>
          <w:sz w:val="22"/>
          <w:szCs w:val="22"/>
        </w:rPr>
        <w:t>(4) Within 1 month after the date on which the Tribunal sent a copy of the decision to a party under paragraph (3)(a), that party may apply in writing for a direction that the decision does not apply to, and is not binding on the parties to, a particular related case.</w:t>
      </w:r>
    </w:p>
    <w:p w14:paraId="4ED48506"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p>
    <w:p w14:paraId="4A000375"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r w:rsidRPr="008009E6">
        <w:rPr>
          <w:rFonts w:ascii="Arial" w:eastAsia="TimesNewRoman" w:hAnsi="Arial" w:cs="Arial"/>
          <w:sz w:val="22"/>
          <w:szCs w:val="22"/>
        </w:rPr>
        <w:t xml:space="preserve">(5) The Tribunal must give directions in respect of cases which are stayed or </w:t>
      </w:r>
      <w:proofErr w:type="spellStart"/>
      <w:r w:rsidRPr="008009E6">
        <w:rPr>
          <w:rFonts w:ascii="Arial" w:eastAsia="TimesNewRoman" w:hAnsi="Arial" w:cs="Arial"/>
          <w:sz w:val="22"/>
          <w:szCs w:val="22"/>
        </w:rPr>
        <w:t>sisted</w:t>
      </w:r>
      <w:proofErr w:type="spellEnd"/>
      <w:r w:rsidRPr="008009E6">
        <w:rPr>
          <w:rFonts w:ascii="Arial" w:eastAsia="TimesNewRoman" w:hAnsi="Arial" w:cs="Arial"/>
          <w:sz w:val="22"/>
          <w:szCs w:val="22"/>
        </w:rPr>
        <w:t xml:space="preserve"> under paragraph (2)(b), providing for the disposal of or further directions in those cases.</w:t>
      </w:r>
    </w:p>
    <w:p w14:paraId="7D9175E5" w14:textId="77777777" w:rsidR="002C6D98" w:rsidRPr="008009E6" w:rsidRDefault="002C6D98" w:rsidP="002E3E15">
      <w:pPr>
        <w:pStyle w:val="ListParagraph"/>
        <w:autoSpaceDE w:val="0"/>
        <w:autoSpaceDN w:val="0"/>
        <w:adjustRightInd w:val="0"/>
        <w:ind w:left="1418" w:right="521"/>
        <w:rPr>
          <w:rFonts w:ascii="Arial" w:eastAsia="TimesNewRoman" w:hAnsi="Arial" w:cs="Arial"/>
          <w:sz w:val="22"/>
          <w:szCs w:val="22"/>
        </w:rPr>
      </w:pPr>
    </w:p>
    <w:p w14:paraId="5064BC97" w14:textId="6F31AA68" w:rsidR="002C6D98" w:rsidRDefault="002C6D98" w:rsidP="002E3E15">
      <w:pPr>
        <w:pStyle w:val="ListParagraph"/>
        <w:autoSpaceDE w:val="0"/>
        <w:autoSpaceDN w:val="0"/>
        <w:adjustRightInd w:val="0"/>
        <w:ind w:left="1418" w:right="521"/>
        <w:rPr>
          <w:rFonts w:ascii="Arial" w:eastAsia="TimesNewRoman" w:hAnsi="Arial" w:cs="Arial"/>
          <w:sz w:val="22"/>
          <w:szCs w:val="22"/>
        </w:rPr>
      </w:pPr>
      <w:r w:rsidRPr="008009E6">
        <w:rPr>
          <w:rFonts w:ascii="Arial" w:eastAsia="TimesNewRoman" w:hAnsi="Arial" w:cs="Arial"/>
          <w:sz w:val="22"/>
          <w:szCs w:val="22"/>
        </w:rPr>
        <w:t>(6) If the lead case or cases lapse or are withdrawn before the Tribunal makes a decision in respect of the common or related issues, the Tribunal must give directions as to—</w:t>
      </w:r>
    </w:p>
    <w:p w14:paraId="43A3C3FF" w14:textId="3EA815E5" w:rsidR="002C6D98" w:rsidRPr="008009E6" w:rsidRDefault="002C6D98" w:rsidP="00503A20">
      <w:pPr>
        <w:pStyle w:val="ListParagraph"/>
        <w:autoSpaceDE w:val="0"/>
        <w:autoSpaceDN w:val="0"/>
        <w:adjustRightInd w:val="0"/>
        <w:ind w:left="2268" w:right="521" w:hanging="425"/>
        <w:rPr>
          <w:rFonts w:ascii="Arial" w:eastAsia="TimesNewRoman" w:hAnsi="Arial" w:cs="Arial"/>
          <w:sz w:val="22"/>
          <w:szCs w:val="22"/>
        </w:rPr>
      </w:pPr>
      <w:r w:rsidRPr="008009E6">
        <w:rPr>
          <w:rFonts w:ascii="Arial" w:eastAsia="TimesNewRoman" w:hAnsi="Arial" w:cs="Arial"/>
          <w:sz w:val="22"/>
          <w:szCs w:val="22"/>
        </w:rPr>
        <w:t xml:space="preserve">(a) </w:t>
      </w:r>
      <w:r w:rsidR="00503A20">
        <w:rPr>
          <w:rFonts w:ascii="Arial" w:eastAsia="TimesNewRoman" w:hAnsi="Arial" w:cs="Arial"/>
          <w:sz w:val="22"/>
          <w:szCs w:val="22"/>
        </w:rPr>
        <w:tab/>
      </w:r>
      <w:r w:rsidRPr="008009E6">
        <w:rPr>
          <w:rFonts w:ascii="Arial" w:eastAsia="TimesNewRoman" w:hAnsi="Arial" w:cs="Arial"/>
          <w:sz w:val="22"/>
          <w:szCs w:val="22"/>
        </w:rPr>
        <w:t>whether another case or other cases are to be specified as a lead case or lead cases; and</w:t>
      </w:r>
    </w:p>
    <w:p w14:paraId="57B38DAE" w14:textId="2CA4700E" w:rsidR="004E60EC" w:rsidRDefault="002C6D98" w:rsidP="007E441B">
      <w:pPr>
        <w:pStyle w:val="ListParagraph"/>
        <w:ind w:left="2268" w:right="521" w:hanging="425"/>
        <w:rPr>
          <w:sz w:val="22"/>
          <w:szCs w:val="22"/>
        </w:rPr>
      </w:pPr>
      <w:r w:rsidRPr="008009E6">
        <w:rPr>
          <w:rFonts w:ascii="Arial" w:eastAsia="TimesNewRoman" w:hAnsi="Arial" w:cs="Arial"/>
          <w:sz w:val="22"/>
          <w:szCs w:val="22"/>
        </w:rPr>
        <w:t xml:space="preserve">(b) </w:t>
      </w:r>
      <w:r w:rsidR="00503A20">
        <w:rPr>
          <w:rFonts w:ascii="Arial" w:eastAsia="TimesNewRoman" w:hAnsi="Arial" w:cs="Arial"/>
          <w:sz w:val="22"/>
          <w:szCs w:val="22"/>
        </w:rPr>
        <w:tab/>
      </w:r>
      <w:r w:rsidRPr="008009E6">
        <w:rPr>
          <w:rFonts w:ascii="Arial" w:eastAsia="TimesNewRoman" w:hAnsi="Arial" w:cs="Arial"/>
          <w:sz w:val="22"/>
          <w:szCs w:val="22"/>
        </w:rPr>
        <w:t>whether any direction affecting the related cases should be set aside or amended.</w:t>
      </w:r>
    </w:p>
    <w:p w14:paraId="3B6BA579" w14:textId="327721F3" w:rsidR="007E441B" w:rsidRDefault="007E441B" w:rsidP="007E441B">
      <w:pPr>
        <w:pStyle w:val="ListParagraph"/>
        <w:ind w:left="2268" w:right="521" w:hanging="425"/>
        <w:rPr>
          <w:sz w:val="22"/>
          <w:szCs w:val="22"/>
        </w:rPr>
      </w:pPr>
    </w:p>
    <w:p w14:paraId="1F5E2878" w14:textId="77777777" w:rsidR="009B5BAE" w:rsidRPr="007E441B" w:rsidRDefault="009B5BAE" w:rsidP="007E441B">
      <w:pPr>
        <w:pStyle w:val="ListParagraph"/>
        <w:ind w:left="2268" w:right="521" w:hanging="425"/>
        <w:rPr>
          <w:sz w:val="22"/>
          <w:szCs w:val="22"/>
        </w:rPr>
      </w:pPr>
    </w:p>
    <w:p w14:paraId="49419957" w14:textId="77777777" w:rsidR="004E60EC" w:rsidRPr="004E60EC" w:rsidRDefault="004E60EC" w:rsidP="004E60EC">
      <w:pPr>
        <w:tabs>
          <w:tab w:val="num" w:pos="0"/>
        </w:tabs>
        <w:jc w:val="both"/>
        <w:rPr>
          <w:rFonts w:ascii="Arial Black" w:hAnsi="Arial Black" w:cs="Arial"/>
          <w:bCs/>
          <w:smallCaps/>
          <w:sz w:val="22"/>
          <w:szCs w:val="22"/>
        </w:rPr>
      </w:pPr>
      <w:r w:rsidRPr="004E60EC">
        <w:rPr>
          <w:rFonts w:ascii="Arial Black" w:hAnsi="Arial Black" w:cs="Arial"/>
          <w:bCs/>
          <w:smallCaps/>
          <w:sz w:val="22"/>
          <w:szCs w:val="22"/>
        </w:rPr>
        <w:t xml:space="preserve">Discussion </w:t>
      </w:r>
    </w:p>
    <w:p w14:paraId="42E33EB7" w14:textId="77777777" w:rsidR="00C5040E" w:rsidRDefault="00C5040E" w:rsidP="004E60EC">
      <w:pPr>
        <w:pStyle w:val="ListParagraph"/>
        <w:tabs>
          <w:tab w:val="left" w:pos="426"/>
        </w:tabs>
        <w:ind w:left="0"/>
        <w:jc w:val="both"/>
        <w:rPr>
          <w:rFonts w:ascii="Arial" w:hAnsi="Arial" w:cs="Arial"/>
          <w:sz w:val="22"/>
          <w:szCs w:val="22"/>
        </w:rPr>
      </w:pPr>
    </w:p>
    <w:p w14:paraId="134ABC32" w14:textId="6948371A" w:rsidR="008F68BE" w:rsidRPr="00A4399B" w:rsidRDefault="008F68BE" w:rsidP="00F2301A">
      <w:pPr>
        <w:pStyle w:val="ListParagraph"/>
        <w:numPr>
          <w:ilvl w:val="0"/>
          <w:numId w:val="3"/>
        </w:numPr>
        <w:tabs>
          <w:tab w:val="left" w:pos="567"/>
        </w:tabs>
        <w:ind w:left="0" w:firstLine="0"/>
        <w:jc w:val="both"/>
        <w:rPr>
          <w:rFonts w:ascii="Arial" w:hAnsi="Arial" w:cs="Arial"/>
          <w:sz w:val="22"/>
          <w:szCs w:val="22"/>
        </w:rPr>
      </w:pPr>
      <w:r w:rsidRPr="00A4399B">
        <w:rPr>
          <w:rFonts w:ascii="Arial" w:hAnsi="Arial" w:cs="Arial"/>
          <w:sz w:val="22"/>
          <w:szCs w:val="22"/>
        </w:rPr>
        <w:t xml:space="preserve">I </w:t>
      </w:r>
      <w:r w:rsidR="00B00D14" w:rsidRPr="00A4399B">
        <w:rPr>
          <w:rFonts w:ascii="Arial" w:hAnsi="Arial" w:cs="Arial"/>
          <w:sz w:val="22"/>
          <w:szCs w:val="22"/>
        </w:rPr>
        <w:t xml:space="preserve">remind myself of </w:t>
      </w:r>
      <w:r w:rsidRPr="00A4399B">
        <w:rPr>
          <w:rFonts w:ascii="Arial" w:hAnsi="Arial" w:cs="Arial"/>
          <w:sz w:val="22"/>
          <w:szCs w:val="22"/>
        </w:rPr>
        <w:t xml:space="preserve">the </w:t>
      </w:r>
      <w:r w:rsidR="00734743" w:rsidRPr="00A4399B">
        <w:rPr>
          <w:rFonts w:ascii="Arial" w:hAnsi="Arial" w:cs="Arial"/>
          <w:sz w:val="22"/>
          <w:szCs w:val="22"/>
        </w:rPr>
        <w:t>words</w:t>
      </w:r>
      <w:r w:rsidRPr="00A4399B">
        <w:rPr>
          <w:rFonts w:ascii="Arial" w:hAnsi="Arial" w:cs="Arial"/>
          <w:sz w:val="22"/>
          <w:szCs w:val="22"/>
        </w:rPr>
        <w:t xml:space="preserve"> of Lewis LJ and Garnham J [at 47] in the </w:t>
      </w:r>
      <w:r w:rsidRPr="00A4399B">
        <w:rPr>
          <w:rFonts w:ascii="Arial" w:hAnsi="Arial" w:cs="Arial"/>
          <w:i/>
          <w:sz w:val="22"/>
          <w:szCs w:val="22"/>
        </w:rPr>
        <w:t>KMI and EW</w:t>
      </w:r>
      <w:r w:rsidRPr="00A4399B">
        <w:rPr>
          <w:rFonts w:ascii="Arial" w:hAnsi="Arial" w:cs="Arial"/>
          <w:sz w:val="22"/>
          <w:szCs w:val="22"/>
        </w:rPr>
        <w:t xml:space="preserve"> judicial reviews (now withdrawn by consent) that refusal of support to destitute failed asylum seekers during the COVID-19 pandemic concerns</w:t>
      </w:r>
      <w:r w:rsidR="00970A33">
        <w:rPr>
          <w:rFonts w:ascii="Arial" w:hAnsi="Arial" w:cs="Arial"/>
          <w:sz w:val="22"/>
          <w:szCs w:val="22"/>
        </w:rPr>
        <w:t>,</w:t>
      </w:r>
      <w:r w:rsidRPr="00A4399B">
        <w:rPr>
          <w:rFonts w:ascii="Arial" w:hAnsi="Arial" w:cs="Arial"/>
          <w:sz w:val="22"/>
          <w:szCs w:val="22"/>
        </w:rPr>
        <w:t xml:space="preserve"> “an issue of real substance”. The question, as identified by the Court was: </w:t>
      </w:r>
    </w:p>
    <w:p w14:paraId="16F391EA" w14:textId="77777777" w:rsidR="00764FF9" w:rsidRPr="00A4399B" w:rsidRDefault="00764FF9" w:rsidP="00764FF9">
      <w:pPr>
        <w:pStyle w:val="ListParagraph"/>
        <w:ind w:left="0"/>
        <w:jc w:val="both"/>
        <w:rPr>
          <w:rFonts w:ascii="Arial" w:hAnsi="Arial" w:cs="Arial"/>
          <w:sz w:val="22"/>
          <w:szCs w:val="22"/>
        </w:rPr>
      </w:pPr>
    </w:p>
    <w:p w14:paraId="3901814B" w14:textId="77777777" w:rsidR="00764FF9" w:rsidRPr="0025259D" w:rsidRDefault="00764FF9" w:rsidP="003047AD">
      <w:pPr>
        <w:pStyle w:val="ListParagraph"/>
        <w:tabs>
          <w:tab w:val="num" w:pos="0"/>
          <w:tab w:val="left" w:pos="7938"/>
        </w:tabs>
        <w:ind w:left="851" w:right="521"/>
        <w:jc w:val="both"/>
        <w:rPr>
          <w:rFonts w:ascii="Arial" w:hAnsi="Arial" w:cs="Arial"/>
          <w:i/>
          <w:sz w:val="22"/>
          <w:szCs w:val="22"/>
        </w:rPr>
      </w:pPr>
      <w:r w:rsidRPr="0025259D">
        <w:rPr>
          <w:rFonts w:ascii="Arial" w:hAnsi="Arial" w:cs="Arial"/>
          <w:i/>
          <w:sz w:val="22"/>
          <w:szCs w:val="22"/>
        </w:rPr>
        <w:t xml:space="preserve">“… whether in the light of the health emergency facing the UK, it was a rational and proportionate decision for the SSHD to limit the provision of accommodation to those who happen already to be accommodated and not extend it to those who are not. It seems to us that there are arguments of substance both at common law and under Article 14 </w:t>
      </w:r>
      <w:bookmarkStart w:id="16" w:name="_Hlk70641218"/>
      <w:r w:rsidRPr="0025259D">
        <w:rPr>
          <w:rFonts w:ascii="Arial" w:hAnsi="Arial" w:cs="Arial"/>
          <w:i/>
          <w:sz w:val="22"/>
          <w:szCs w:val="22"/>
        </w:rPr>
        <w:t>read with Article 8 of the Convention</w:t>
      </w:r>
      <w:bookmarkEnd w:id="16"/>
      <w:r w:rsidRPr="0025259D">
        <w:rPr>
          <w:rFonts w:ascii="Arial" w:hAnsi="Arial" w:cs="Arial"/>
          <w:i/>
          <w:sz w:val="22"/>
          <w:szCs w:val="22"/>
        </w:rPr>
        <w:t xml:space="preserve">….” </w:t>
      </w:r>
    </w:p>
    <w:p w14:paraId="70529A72" w14:textId="77777777" w:rsidR="008F68BE" w:rsidRPr="00A4399B" w:rsidRDefault="008F68BE" w:rsidP="008F68BE"/>
    <w:p w14:paraId="1BF78203" w14:textId="1276E299" w:rsidR="00441F10" w:rsidRPr="00A4399B" w:rsidRDefault="00F2301A" w:rsidP="00F2301A">
      <w:pPr>
        <w:tabs>
          <w:tab w:val="left" w:pos="588"/>
        </w:tabs>
        <w:jc w:val="both"/>
        <w:rPr>
          <w:rFonts w:ascii="Arial" w:hAnsi="Arial" w:cs="Arial"/>
          <w:sz w:val="22"/>
          <w:szCs w:val="22"/>
        </w:rPr>
      </w:pPr>
      <w:r>
        <w:rPr>
          <w:rFonts w:ascii="Arial" w:hAnsi="Arial" w:cs="Arial"/>
          <w:sz w:val="22"/>
          <w:szCs w:val="22"/>
        </w:rPr>
        <w:t>41</w:t>
      </w:r>
      <w:r w:rsidR="008F68BE" w:rsidRPr="00A4399B">
        <w:rPr>
          <w:rFonts w:ascii="Arial" w:hAnsi="Arial" w:cs="Arial"/>
          <w:sz w:val="22"/>
          <w:szCs w:val="22"/>
        </w:rPr>
        <w:t>.</w:t>
      </w:r>
      <w:r w:rsidR="008F68BE" w:rsidRPr="00A4399B">
        <w:rPr>
          <w:rFonts w:ascii="Arial" w:hAnsi="Arial" w:cs="Arial"/>
          <w:sz w:val="22"/>
          <w:szCs w:val="22"/>
        </w:rPr>
        <w:tab/>
      </w:r>
      <w:r w:rsidR="00613059">
        <w:rPr>
          <w:rFonts w:ascii="Arial" w:hAnsi="Arial" w:cs="Arial"/>
          <w:sz w:val="22"/>
          <w:szCs w:val="22"/>
        </w:rPr>
        <w:t xml:space="preserve">My understanding is that </w:t>
      </w:r>
      <w:r w:rsidR="008F68BE" w:rsidRPr="00A4399B">
        <w:rPr>
          <w:rFonts w:ascii="Arial" w:hAnsi="Arial" w:cs="Arial"/>
          <w:i/>
          <w:sz w:val="22"/>
          <w:szCs w:val="22"/>
        </w:rPr>
        <w:t>EW</w:t>
      </w:r>
      <w:r w:rsidR="008F68BE" w:rsidRPr="00A4399B">
        <w:rPr>
          <w:rFonts w:ascii="Arial" w:hAnsi="Arial" w:cs="Arial"/>
          <w:sz w:val="22"/>
          <w:szCs w:val="22"/>
        </w:rPr>
        <w:t xml:space="preserve"> has left the </w:t>
      </w:r>
      <w:r w:rsidR="00613059">
        <w:rPr>
          <w:rFonts w:ascii="Arial" w:hAnsi="Arial" w:cs="Arial"/>
          <w:sz w:val="22"/>
          <w:szCs w:val="22"/>
        </w:rPr>
        <w:t>UK</w:t>
      </w:r>
      <w:r w:rsidR="008F68BE" w:rsidRPr="00A4399B">
        <w:rPr>
          <w:rFonts w:ascii="Arial" w:hAnsi="Arial" w:cs="Arial"/>
          <w:sz w:val="22"/>
          <w:szCs w:val="22"/>
        </w:rPr>
        <w:t xml:space="preserve"> and </w:t>
      </w:r>
      <w:r w:rsidR="008F68BE" w:rsidRPr="00A4399B">
        <w:rPr>
          <w:rFonts w:ascii="Arial" w:hAnsi="Arial" w:cs="Arial"/>
          <w:i/>
          <w:sz w:val="22"/>
          <w:szCs w:val="22"/>
        </w:rPr>
        <w:t>KMI</w:t>
      </w:r>
      <w:r w:rsidR="008F68BE" w:rsidRPr="00A4399B">
        <w:rPr>
          <w:rFonts w:ascii="Arial" w:hAnsi="Arial" w:cs="Arial"/>
          <w:sz w:val="22"/>
          <w:szCs w:val="22"/>
        </w:rPr>
        <w:t xml:space="preserve"> has been provided with support by the SSHD. I do not know on what basis </w:t>
      </w:r>
      <w:r w:rsidR="008F68BE" w:rsidRPr="00A4399B">
        <w:rPr>
          <w:rFonts w:ascii="Arial" w:hAnsi="Arial" w:cs="Arial"/>
          <w:i/>
          <w:sz w:val="22"/>
          <w:szCs w:val="22"/>
        </w:rPr>
        <w:t>KMI</w:t>
      </w:r>
      <w:r w:rsidR="008F68BE" w:rsidRPr="00A4399B">
        <w:rPr>
          <w:rFonts w:ascii="Arial" w:hAnsi="Arial" w:cs="Arial"/>
          <w:sz w:val="22"/>
          <w:szCs w:val="22"/>
        </w:rPr>
        <w:t xml:space="preserve"> finds himself in the fortunate position of being supported</w:t>
      </w:r>
      <w:r w:rsidR="00970A33">
        <w:rPr>
          <w:rFonts w:ascii="Arial" w:hAnsi="Arial" w:cs="Arial"/>
          <w:sz w:val="22"/>
          <w:szCs w:val="22"/>
        </w:rPr>
        <w:t>,</w:t>
      </w:r>
      <w:r w:rsidR="008F68BE" w:rsidRPr="00A4399B">
        <w:rPr>
          <w:rFonts w:ascii="Arial" w:hAnsi="Arial" w:cs="Arial"/>
          <w:sz w:val="22"/>
          <w:szCs w:val="22"/>
        </w:rPr>
        <w:t xml:space="preserve"> but the above “issue of real substance”, which is likely to affect hundreds of destitute failed asylum seekers in the weeks and months ahead, will not now be </w:t>
      </w:r>
      <w:r w:rsidR="00B34A28">
        <w:rPr>
          <w:rFonts w:ascii="Arial" w:hAnsi="Arial" w:cs="Arial"/>
          <w:sz w:val="22"/>
          <w:szCs w:val="22"/>
        </w:rPr>
        <w:t>heard</w:t>
      </w:r>
      <w:r w:rsidR="008F68BE" w:rsidRPr="00A4399B">
        <w:rPr>
          <w:rFonts w:ascii="Arial" w:hAnsi="Arial" w:cs="Arial"/>
          <w:sz w:val="22"/>
          <w:szCs w:val="22"/>
        </w:rPr>
        <w:t xml:space="preserve"> by the Administrative Court. Be that as it may, the same issue arises in the case before me and it is incumbent on me to determine it. </w:t>
      </w:r>
    </w:p>
    <w:p w14:paraId="7CAF01BC" w14:textId="699C2F41" w:rsidR="008F68BE" w:rsidRPr="00A4399B" w:rsidRDefault="008F68BE" w:rsidP="008F68BE">
      <w:pPr>
        <w:pStyle w:val="ListParagraph"/>
        <w:ind w:left="0"/>
        <w:jc w:val="both"/>
        <w:rPr>
          <w:rFonts w:ascii="Arial" w:hAnsi="Arial" w:cs="Arial"/>
          <w:sz w:val="22"/>
          <w:szCs w:val="22"/>
        </w:rPr>
      </w:pPr>
    </w:p>
    <w:p w14:paraId="7630BDAB" w14:textId="176EFB93" w:rsidR="00D35745" w:rsidRPr="0082293C" w:rsidRDefault="00F2301A" w:rsidP="00F2301A">
      <w:pPr>
        <w:tabs>
          <w:tab w:val="num" w:pos="0"/>
          <w:tab w:val="left" w:pos="616"/>
        </w:tabs>
        <w:jc w:val="both"/>
        <w:rPr>
          <w:rFonts w:ascii="Arial" w:hAnsi="Arial" w:cs="Arial"/>
          <w:sz w:val="22"/>
          <w:szCs w:val="22"/>
        </w:rPr>
      </w:pPr>
      <w:r>
        <w:rPr>
          <w:rFonts w:ascii="Arial" w:hAnsi="Arial" w:cs="Arial"/>
          <w:sz w:val="22"/>
          <w:szCs w:val="22"/>
        </w:rPr>
        <w:t>42</w:t>
      </w:r>
      <w:r w:rsidR="0046720E" w:rsidRPr="00A4399B">
        <w:rPr>
          <w:rFonts w:ascii="Arial" w:hAnsi="Arial" w:cs="Arial"/>
          <w:sz w:val="22"/>
          <w:szCs w:val="22"/>
        </w:rPr>
        <w:t>.</w:t>
      </w:r>
      <w:r w:rsidR="0046720E" w:rsidRPr="00A4399B">
        <w:rPr>
          <w:rFonts w:ascii="Arial" w:hAnsi="Arial" w:cs="Arial"/>
          <w:sz w:val="22"/>
          <w:szCs w:val="22"/>
        </w:rPr>
        <w:tab/>
      </w:r>
      <w:r w:rsidR="00E90471" w:rsidRPr="00A4399B">
        <w:rPr>
          <w:rFonts w:ascii="Arial" w:hAnsi="Arial" w:cs="Arial"/>
          <w:sz w:val="22"/>
          <w:szCs w:val="22"/>
        </w:rPr>
        <w:t>There has been much discussion in this appeal, in other appeals before the Tribunal and</w:t>
      </w:r>
      <w:r w:rsidR="003437AF" w:rsidRPr="00A4399B">
        <w:rPr>
          <w:rFonts w:ascii="Arial" w:hAnsi="Arial" w:cs="Arial"/>
          <w:sz w:val="22"/>
          <w:szCs w:val="22"/>
        </w:rPr>
        <w:t xml:space="preserve"> </w:t>
      </w:r>
      <w:r w:rsidR="00970A33">
        <w:rPr>
          <w:rFonts w:ascii="Arial" w:hAnsi="Arial" w:cs="Arial"/>
          <w:sz w:val="22"/>
          <w:szCs w:val="22"/>
        </w:rPr>
        <w:t xml:space="preserve">apparently </w:t>
      </w:r>
      <w:r w:rsidR="003437AF" w:rsidRPr="00A4399B">
        <w:rPr>
          <w:rFonts w:ascii="Arial" w:hAnsi="Arial" w:cs="Arial"/>
          <w:sz w:val="22"/>
          <w:szCs w:val="22"/>
        </w:rPr>
        <w:t>in</w:t>
      </w:r>
      <w:r w:rsidR="00E90471" w:rsidRPr="00A4399B">
        <w:rPr>
          <w:rFonts w:ascii="Arial" w:hAnsi="Arial" w:cs="Arial"/>
          <w:sz w:val="22"/>
          <w:szCs w:val="22"/>
        </w:rPr>
        <w:t xml:space="preserve"> judicial reviews</w:t>
      </w:r>
      <w:r w:rsidR="003437AF" w:rsidRPr="00A4399B">
        <w:rPr>
          <w:rFonts w:ascii="Arial" w:hAnsi="Arial" w:cs="Arial"/>
          <w:sz w:val="22"/>
          <w:szCs w:val="22"/>
        </w:rPr>
        <w:t xml:space="preserve"> proceeding</w:t>
      </w:r>
      <w:r w:rsidR="00970A33">
        <w:rPr>
          <w:rFonts w:ascii="Arial" w:hAnsi="Arial" w:cs="Arial"/>
          <w:sz w:val="22"/>
          <w:szCs w:val="22"/>
        </w:rPr>
        <w:t>s</w:t>
      </w:r>
      <w:r w:rsidR="003437AF" w:rsidRPr="00A4399B">
        <w:rPr>
          <w:rFonts w:ascii="Arial" w:hAnsi="Arial" w:cs="Arial"/>
          <w:sz w:val="22"/>
          <w:szCs w:val="22"/>
        </w:rPr>
        <w:t xml:space="preserve"> (to be heard on 5/6 May 2021</w:t>
      </w:r>
      <w:r w:rsidR="00DE2FCD" w:rsidRPr="00A4399B">
        <w:rPr>
          <w:rFonts w:ascii="Arial" w:hAnsi="Arial" w:cs="Arial"/>
          <w:sz w:val="22"/>
          <w:szCs w:val="22"/>
        </w:rPr>
        <w:t>)</w:t>
      </w:r>
      <w:r w:rsidR="003C2DEF" w:rsidRPr="00A4399B">
        <w:rPr>
          <w:rFonts w:ascii="Arial" w:hAnsi="Arial" w:cs="Arial"/>
          <w:sz w:val="22"/>
          <w:szCs w:val="22"/>
        </w:rPr>
        <w:t xml:space="preserve"> on the lawfulness of </w:t>
      </w:r>
      <w:r w:rsidR="003C2DEF" w:rsidRPr="00B34A28">
        <w:rPr>
          <w:rFonts w:ascii="Arial" w:hAnsi="Arial" w:cs="Arial"/>
          <w:i/>
          <w:sz w:val="22"/>
          <w:szCs w:val="22"/>
        </w:rPr>
        <w:t>PA and MA</w:t>
      </w:r>
      <w:r w:rsidR="00D35745" w:rsidRPr="00A4399B">
        <w:rPr>
          <w:rFonts w:ascii="Arial" w:hAnsi="Arial" w:cs="Arial"/>
          <w:sz w:val="22"/>
          <w:szCs w:val="22"/>
        </w:rPr>
        <w:t xml:space="preserve">. </w:t>
      </w:r>
      <w:r w:rsidR="00D35745" w:rsidRPr="00A4399B">
        <w:rPr>
          <w:rFonts w:ascii="Arial" w:eastAsia="TimesNewRoman" w:hAnsi="Arial" w:cs="Arial"/>
          <w:sz w:val="22"/>
          <w:szCs w:val="22"/>
          <w:lang w:eastAsia="en-US"/>
        </w:rPr>
        <w:t xml:space="preserve">On behalf of the SSHD, UKVI </w:t>
      </w:r>
      <w:r w:rsidR="00970A33">
        <w:rPr>
          <w:rFonts w:ascii="Arial" w:eastAsia="TimesNewRoman" w:hAnsi="Arial" w:cs="Arial"/>
          <w:sz w:val="22"/>
          <w:szCs w:val="22"/>
          <w:lang w:eastAsia="en-US"/>
        </w:rPr>
        <w:t>P</w:t>
      </w:r>
      <w:r w:rsidR="00D35745" w:rsidRPr="00A4399B">
        <w:rPr>
          <w:rFonts w:ascii="Arial" w:eastAsia="TimesNewRoman" w:hAnsi="Arial" w:cs="Arial"/>
          <w:sz w:val="22"/>
          <w:szCs w:val="22"/>
          <w:lang w:eastAsia="en-US"/>
        </w:rPr>
        <w:t xml:space="preserve">resenting </w:t>
      </w:r>
      <w:r w:rsidR="00970A33">
        <w:rPr>
          <w:rFonts w:ascii="Arial" w:eastAsia="TimesNewRoman" w:hAnsi="Arial" w:cs="Arial"/>
          <w:sz w:val="22"/>
          <w:szCs w:val="22"/>
          <w:lang w:eastAsia="en-US"/>
        </w:rPr>
        <w:t>O</w:t>
      </w:r>
      <w:r w:rsidR="00D35745" w:rsidRPr="00A4399B">
        <w:rPr>
          <w:rFonts w:ascii="Arial" w:eastAsia="TimesNewRoman" w:hAnsi="Arial" w:cs="Arial"/>
          <w:sz w:val="22"/>
          <w:szCs w:val="22"/>
          <w:lang w:eastAsia="en-US"/>
        </w:rPr>
        <w:t>fficers and the respondent’s legal team ha</w:t>
      </w:r>
      <w:r w:rsidR="00C9536C">
        <w:rPr>
          <w:rFonts w:ascii="Arial" w:eastAsia="TimesNewRoman" w:hAnsi="Arial" w:cs="Arial"/>
          <w:sz w:val="22"/>
          <w:szCs w:val="22"/>
          <w:lang w:eastAsia="en-US"/>
        </w:rPr>
        <w:t>ve</w:t>
      </w:r>
      <w:r w:rsidR="00D35745" w:rsidRPr="00A4399B">
        <w:rPr>
          <w:rFonts w:ascii="Arial" w:eastAsia="TimesNewRoman" w:hAnsi="Arial" w:cs="Arial"/>
          <w:sz w:val="22"/>
          <w:szCs w:val="22"/>
          <w:lang w:eastAsia="en-US"/>
        </w:rPr>
        <w:t xml:space="preserve"> sought to challenge </w:t>
      </w:r>
      <w:r w:rsidR="000F378F" w:rsidRPr="00A4399B">
        <w:rPr>
          <w:rFonts w:ascii="Arial" w:eastAsia="TimesNewRoman" w:hAnsi="Arial" w:cs="Arial"/>
          <w:i/>
          <w:iCs/>
          <w:sz w:val="22"/>
          <w:szCs w:val="22"/>
          <w:lang w:eastAsia="en-US"/>
        </w:rPr>
        <w:t>PA and MA</w:t>
      </w:r>
      <w:r w:rsidR="000F378F" w:rsidRPr="00A4399B">
        <w:rPr>
          <w:rFonts w:ascii="Arial" w:eastAsia="TimesNewRoman" w:hAnsi="Arial" w:cs="Arial"/>
          <w:iCs/>
          <w:sz w:val="22"/>
          <w:szCs w:val="22"/>
          <w:lang w:eastAsia="en-US"/>
        </w:rPr>
        <w:t xml:space="preserve"> </w:t>
      </w:r>
      <w:r w:rsidR="00D35745" w:rsidRPr="00A4399B">
        <w:rPr>
          <w:rFonts w:ascii="Arial" w:eastAsia="TimesNewRoman" w:hAnsi="Arial" w:cs="Arial"/>
          <w:iCs/>
          <w:sz w:val="22"/>
          <w:szCs w:val="22"/>
          <w:lang w:eastAsia="en-US"/>
        </w:rPr>
        <w:t>before me</w:t>
      </w:r>
      <w:r w:rsidR="00A05015" w:rsidRPr="00A4399B">
        <w:rPr>
          <w:rFonts w:ascii="Arial" w:eastAsia="TimesNewRoman" w:hAnsi="Arial" w:cs="Arial"/>
          <w:iCs/>
          <w:sz w:val="22"/>
          <w:szCs w:val="22"/>
          <w:lang w:eastAsia="en-US"/>
        </w:rPr>
        <w:t xml:space="preserve"> but not, or so it would seem</w:t>
      </w:r>
      <w:r w:rsidR="00AF0C53" w:rsidRPr="00A4399B">
        <w:rPr>
          <w:rFonts w:ascii="Arial" w:eastAsia="TimesNewRoman" w:hAnsi="Arial" w:cs="Arial"/>
          <w:iCs/>
          <w:sz w:val="22"/>
          <w:szCs w:val="22"/>
          <w:lang w:eastAsia="en-US"/>
        </w:rPr>
        <w:t xml:space="preserve">, </w:t>
      </w:r>
      <w:r w:rsidR="00712F94" w:rsidRPr="00A4399B">
        <w:rPr>
          <w:rFonts w:ascii="Arial" w:eastAsia="TimesNewRoman" w:hAnsi="Arial" w:cs="Arial"/>
          <w:iCs/>
          <w:sz w:val="22"/>
          <w:szCs w:val="22"/>
          <w:lang w:eastAsia="en-US"/>
        </w:rPr>
        <w:t>before the Administrative Court, the only Court with jurisdiction to quash the decisions.</w:t>
      </w:r>
      <w:r w:rsidR="006309F5" w:rsidRPr="00A4399B">
        <w:rPr>
          <w:rFonts w:ascii="Arial" w:eastAsia="TimesNewRoman" w:hAnsi="Arial" w:cs="Arial"/>
          <w:iCs/>
          <w:sz w:val="22"/>
          <w:szCs w:val="22"/>
          <w:lang w:eastAsia="en-US"/>
        </w:rPr>
        <w:t xml:space="preserve"> </w:t>
      </w:r>
      <w:r w:rsidR="00C63ADB" w:rsidRPr="00A4399B">
        <w:rPr>
          <w:rFonts w:ascii="Arial" w:eastAsia="TimesNewRoman" w:hAnsi="Arial" w:cs="Arial"/>
          <w:iCs/>
          <w:sz w:val="22"/>
          <w:szCs w:val="22"/>
          <w:lang w:eastAsia="en-US"/>
        </w:rPr>
        <w:t>Judicial review was issued by PA and MA</w:t>
      </w:r>
      <w:r w:rsidR="007A10F0" w:rsidRPr="00A4399B">
        <w:rPr>
          <w:rFonts w:ascii="Arial" w:eastAsia="TimesNewRoman" w:hAnsi="Arial" w:cs="Arial"/>
          <w:iCs/>
          <w:sz w:val="22"/>
          <w:szCs w:val="22"/>
          <w:lang w:eastAsia="en-US"/>
        </w:rPr>
        <w:t xml:space="preserve"> but is</w:t>
      </w:r>
      <w:r w:rsidR="00D35745" w:rsidRPr="00A4399B">
        <w:rPr>
          <w:rFonts w:ascii="Arial" w:eastAsia="TimesNewRoman" w:hAnsi="Arial" w:cs="Arial"/>
          <w:iCs/>
          <w:sz w:val="22"/>
          <w:szCs w:val="22"/>
          <w:lang w:eastAsia="en-US"/>
        </w:rPr>
        <w:t xml:space="preserve"> limited to a consideration of two grounds</w:t>
      </w:r>
      <w:r w:rsidR="00970A33">
        <w:rPr>
          <w:rFonts w:ascii="Arial" w:eastAsia="TimesNewRoman" w:hAnsi="Arial" w:cs="Arial"/>
          <w:iCs/>
          <w:sz w:val="22"/>
          <w:szCs w:val="22"/>
          <w:lang w:eastAsia="en-US"/>
        </w:rPr>
        <w:t>. F</w:t>
      </w:r>
      <w:r w:rsidR="0082293C">
        <w:rPr>
          <w:rFonts w:ascii="Arial" w:eastAsia="TimesNewRoman" w:hAnsi="Arial" w:cs="Arial"/>
          <w:iCs/>
          <w:sz w:val="22"/>
          <w:szCs w:val="22"/>
          <w:lang w:eastAsia="en-US"/>
        </w:rPr>
        <w:t>irst</w:t>
      </w:r>
      <w:r w:rsidR="00970A33">
        <w:rPr>
          <w:rFonts w:ascii="Arial" w:eastAsia="TimesNewRoman" w:hAnsi="Arial" w:cs="Arial"/>
          <w:iCs/>
          <w:sz w:val="22"/>
          <w:szCs w:val="22"/>
          <w:lang w:eastAsia="en-US"/>
        </w:rPr>
        <w:t>ly</w:t>
      </w:r>
      <w:r w:rsidR="0082293C">
        <w:rPr>
          <w:rFonts w:ascii="Arial" w:eastAsia="TimesNewRoman" w:hAnsi="Arial" w:cs="Arial"/>
          <w:iCs/>
          <w:sz w:val="22"/>
          <w:szCs w:val="22"/>
          <w:lang w:eastAsia="en-US"/>
        </w:rPr>
        <w:t xml:space="preserve">, </w:t>
      </w:r>
      <w:r w:rsidR="00D35745" w:rsidRPr="00A4399B">
        <w:rPr>
          <w:rFonts w:ascii="Arial" w:eastAsia="TimesNewRoman" w:hAnsi="Arial" w:cs="Arial"/>
          <w:iCs/>
          <w:sz w:val="22"/>
          <w:szCs w:val="22"/>
          <w:lang w:eastAsia="en-US"/>
        </w:rPr>
        <w:t>whether</w:t>
      </w:r>
      <w:r w:rsidR="00CC5470">
        <w:rPr>
          <w:rFonts w:ascii="Arial" w:hAnsi="Arial" w:cs="Arial"/>
          <w:sz w:val="22"/>
          <w:szCs w:val="22"/>
        </w:rPr>
        <w:t xml:space="preserve"> </w:t>
      </w:r>
      <w:r w:rsidR="00D35745" w:rsidRPr="00CC5470">
        <w:rPr>
          <w:rFonts w:ascii="Arial" w:eastAsia="TimesNewRoman" w:hAnsi="Arial" w:cs="Arial"/>
          <w:iCs/>
          <w:sz w:val="22"/>
          <w:szCs w:val="22"/>
          <w:lang w:eastAsia="en-US"/>
        </w:rPr>
        <w:t>t</w:t>
      </w:r>
      <w:r w:rsidR="00D35745" w:rsidRPr="00CC5470">
        <w:rPr>
          <w:rFonts w:ascii="Arial" w:eastAsiaTheme="minorHAnsi" w:hAnsi="Arial" w:cs="Arial"/>
          <w:iCs/>
          <w:sz w:val="22"/>
          <w:szCs w:val="22"/>
          <w:lang w:eastAsia="en-US"/>
        </w:rPr>
        <w:t>he AST has power to allow an appeal under s</w:t>
      </w:r>
      <w:r w:rsidR="00970A33">
        <w:rPr>
          <w:rFonts w:ascii="Arial" w:eastAsiaTheme="minorHAnsi" w:hAnsi="Arial" w:cs="Arial"/>
          <w:iCs/>
          <w:sz w:val="22"/>
          <w:szCs w:val="22"/>
          <w:lang w:eastAsia="en-US"/>
        </w:rPr>
        <w:t xml:space="preserve">ection </w:t>
      </w:r>
      <w:r w:rsidR="00D35745" w:rsidRPr="00CC5470">
        <w:rPr>
          <w:rFonts w:ascii="Arial" w:eastAsiaTheme="minorHAnsi" w:hAnsi="Arial" w:cs="Arial"/>
          <w:iCs/>
          <w:sz w:val="22"/>
          <w:szCs w:val="22"/>
          <w:lang w:eastAsia="en-US"/>
        </w:rPr>
        <w:t xml:space="preserve">103 </w:t>
      </w:r>
      <w:r w:rsidR="00970A33">
        <w:rPr>
          <w:rFonts w:ascii="Arial" w:eastAsiaTheme="minorHAnsi" w:hAnsi="Arial" w:cs="Arial"/>
          <w:iCs/>
          <w:sz w:val="22"/>
          <w:szCs w:val="22"/>
          <w:lang w:eastAsia="en-US"/>
        </w:rPr>
        <w:t>of the 1999 Act,</w:t>
      </w:r>
      <w:r w:rsidR="00D35745" w:rsidRPr="00CC5470">
        <w:rPr>
          <w:rFonts w:ascii="Arial" w:eastAsiaTheme="minorHAnsi" w:hAnsi="Arial" w:cs="Arial"/>
          <w:iCs/>
          <w:sz w:val="22"/>
          <w:szCs w:val="22"/>
          <w:lang w:eastAsia="en-US"/>
        </w:rPr>
        <w:t xml:space="preserve"> on the ground</w:t>
      </w:r>
      <w:r w:rsidR="00970A33">
        <w:rPr>
          <w:rFonts w:ascii="Arial" w:eastAsiaTheme="minorHAnsi" w:hAnsi="Arial" w:cs="Arial"/>
          <w:iCs/>
          <w:sz w:val="22"/>
          <w:szCs w:val="22"/>
          <w:lang w:eastAsia="en-US"/>
        </w:rPr>
        <w:t>s</w:t>
      </w:r>
      <w:r w:rsidR="00D35745" w:rsidRPr="00CC5470">
        <w:rPr>
          <w:rFonts w:ascii="Arial" w:eastAsiaTheme="minorHAnsi" w:hAnsi="Arial" w:cs="Arial"/>
          <w:iCs/>
          <w:sz w:val="22"/>
          <w:szCs w:val="22"/>
          <w:lang w:eastAsia="en-US"/>
        </w:rPr>
        <w:t xml:space="preserve"> that an</w:t>
      </w:r>
      <w:r w:rsidR="00D35745" w:rsidRPr="00CC5470">
        <w:rPr>
          <w:rFonts w:ascii="Arial" w:eastAsia="TimesNewRoman" w:hAnsi="Arial" w:cs="Arial"/>
          <w:iCs/>
          <w:sz w:val="22"/>
          <w:szCs w:val="22"/>
          <w:lang w:eastAsia="en-US"/>
        </w:rPr>
        <w:t xml:space="preserve"> </w:t>
      </w:r>
      <w:r w:rsidR="00D35745" w:rsidRPr="00CC5470">
        <w:rPr>
          <w:rFonts w:ascii="Arial" w:eastAsiaTheme="minorHAnsi" w:hAnsi="Arial" w:cs="Arial"/>
          <w:iCs/>
          <w:sz w:val="22"/>
          <w:szCs w:val="22"/>
          <w:lang w:eastAsia="en-US"/>
        </w:rPr>
        <w:t xml:space="preserve">unlawful policy of </w:t>
      </w:r>
      <w:r w:rsidR="00970A33">
        <w:rPr>
          <w:rFonts w:ascii="Arial" w:eastAsiaTheme="minorHAnsi" w:hAnsi="Arial" w:cs="Arial"/>
          <w:iCs/>
          <w:sz w:val="22"/>
          <w:szCs w:val="22"/>
          <w:lang w:eastAsia="en-US"/>
        </w:rPr>
        <w:t xml:space="preserve">the </w:t>
      </w:r>
      <w:r w:rsidR="00D35745" w:rsidRPr="00CC5470">
        <w:rPr>
          <w:rFonts w:ascii="Arial" w:eastAsiaTheme="minorHAnsi" w:hAnsi="Arial" w:cs="Arial"/>
          <w:iCs/>
          <w:sz w:val="22"/>
          <w:szCs w:val="22"/>
          <w:lang w:eastAsia="en-US"/>
        </w:rPr>
        <w:t>SSHD led to the decision under appeal; and</w:t>
      </w:r>
      <w:r w:rsidR="0082293C">
        <w:rPr>
          <w:rFonts w:ascii="Arial" w:hAnsi="Arial" w:cs="Arial"/>
          <w:sz w:val="22"/>
          <w:szCs w:val="22"/>
        </w:rPr>
        <w:t xml:space="preserve"> </w:t>
      </w:r>
      <w:r w:rsidR="00DA17D5">
        <w:rPr>
          <w:rFonts w:ascii="Arial" w:hAnsi="Arial" w:cs="Arial"/>
          <w:sz w:val="22"/>
          <w:szCs w:val="22"/>
        </w:rPr>
        <w:t>second</w:t>
      </w:r>
      <w:r w:rsidR="00970A33">
        <w:rPr>
          <w:rFonts w:ascii="Arial" w:hAnsi="Arial" w:cs="Arial"/>
          <w:sz w:val="22"/>
          <w:szCs w:val="22"/>
        </w:rPr>
        <w:t>ly</w:t>
      </w:r>
      <w:r w:rsidR="00DA17D5">
        <w:rPr>
          <w:rFonts w:ascii="Arial" w:hAnsi="Arial" w:cs="Arial"/>
          <w:sz w:val="22"/>
          <w:szCs w:val="22"/>
        </w:rPr>
        <w:t xml:space="preserve">, whether </w:t>
      </w:r>
      <w:r w:rsidR="00D35745" w:rsidRPr="0082293C">
        <w:rPr>
          <w:rFonts w:ascii="Arial" w:eastAsia="TimesNewRoman" w:hAnsi="Arial" w:cs="Arial"/>
          <w:iCs/>
          <w:sz w:val="22"/>
          <w:szCs w:val="22"/>
          <w:lang w:eastAsia="en-US"/>
        </w:rPr>
        <w:t>t</w:t>
      </w:r>
      <w:r w:rsidR="00D35745" w:rsidRPr="0082293C">
        <w:rPr>
          <w:rFonts w:ascii="Arial" w:eastAsiaTheme="minorHAnsi" w:hAnsi="Arial" w:cs="Arial"/>
          <w:iCs/>
          <w:sz w:val="22"/>
          <w:szCs w:val="22"/>
          <w:lang w:eastAsia="en-US"/>
        </w:rPr>
        <w:t>he AST has a duty to determine the appeal on the facts found by the AST as at the</w:t>
      </w:r>
      <w:r w:rsidR="00D35745" w:rsidRPr="0082293C">
        <w:rPr>
          <w:rFonts w:ascii="Arial" w:eastAsia="TimesNewRoman" w:hAnsi="Arial" w:cs="Arial"/>
          <w:iCs/>
          <w:sz w:val="22"/>
          <w:szCs w:val="22"/>
          <w:lang w:eastAsia="en-US"/>
        </w:rPr>
        <w:t xml:space="preserve"> </w:t>
      </w:r>
      <w:r w:rsidR="00D35745" w:rsidRPr="0082293C">
        <w:rPr>
          <w:rFonts w:ascii="Arial" w:eastAsiaTheme="minorHAnsi" w:hAnsi="Arial" w:cs="Arial"/>
          <w:iCs/>
          <w:sz w:val="22"/>
          <w:szCs w:val="22"/>
          <w:lang w:eastAsia="en-US"/>
        </w:rPr>
        <w:t>date of the AST’s decision, and is not limited to those at the date of the appeal hearing.</w:t>
      </w:r>
    </w:p>
    <w:p w14:paraId="46E93D43" w14:textId="77777777" w:rsidR="00D35745" w:rsidRPr="00A4399B" w:rsidRDefault="00D35745" w:rsidP="00D35745">
      <w:pPr>
        <w:pStyle w:val="ListParagraph"/>
        <w:autoSpaceDE w:val="0"/>
        <w:autoSpaceDN w:val="0"/>
        <w:adjustRightInd w:val="0"/>
        <w:ind w:right="521"/>
        <w:jc w:val="both"/>
        <w:rPr>
          <w:rFonts w:ascii="Arial" w:eastAsia="TimesNewRoman" w:hAnsi="Arial" w:cs="Arial"/>
          <w:iCs/>
          <w:sz w:val="22"/>
          <w:szCs w:val="22"/>
          <w:lang w:eastAsia="en-US"/>
        </w:rPr>
      </w:pPr>
    </w:p>
    <w:p w14:paraId="7CDFFBCB" w14:textId="02BE5C65" w:rsidR="00D35745" w:rsidRPr="00A4399B" w:rsidRDefault="00D35745" w:rsidP="00F2301A">
      <w:pPr>
        <w:tabs>
          <w:tab w:val="num" w:pos="0"/>
          <w:tab w:val="left" w:pos="560"/>
        </w:tabs>
        <w:jc w:val="both"/>
        <w:rPr>
          <w:rFonts w:ascii="Arial" w:hAnsi="Arial" w:cs="Arial"/>
          <w:sz w:val="22"/>
          <w:szCs w:val="22"/>
        </w:rPr>
      </w:pPr>
      <w:r w:rsidRPr="00A4399B">
        <w:rPr>
          <w:rFonts w:ascii="Arial" w:hAnsi="Arial" w:cs="Arial"/>
          <w:sz w:val="22"/>
          <w:szCs w:val="22"/>
        </w:rPr>
        <w:t>4</w:t>
      </w:r>
      <w:r w:rsidR="00F2301A">
        <w:rPr>
          <w:rFonts w:ascii="Arial" w:hAnsi="Arial" w:cs="Arial"/>
          <w:sz w:val="22"/>
          <w:szCs w:val="22"/>
        </w:rPr>
        <w:t>3</w:t>
      </w:r>
      <w:r w:rsidRPr="00A4399B">
        <w:rPr>
          <w:rFonts w:ascii="Arial" w:hAnsi="Arial" w:cs="Arial"/>
          <w:sz w:val="22"/>
          <w:szCs w:val="22"/>
        </w:rPr>
        <w:t>.</w:t>
      </w:r>
      <w:r w:rsidRPr="00A4399B">
        <w:rPr>
          <w:rFonts w:ascii="Arial" w:hAnsi="Arial" w:cs="Arial"/>
          <w:sz w:val="22"/>
          <w:szCs w:val="22"/>
        </w:rPr>
        <w:tab/>
      </w:r>
      <w:r w:rsidR="00AB252F" w:rsidRPr="00A4399B">
        <w:rPr>
          <w:rFonts w:ascii="Arial" w:hAnsi="Arial" w:cs="Arial"/>
          <w:sz w:val="22"/>
          <w:szCs w:val="22"/>
        </w:rPr>
        <w:t xml:space="preserve">Having failed to challenge </w:t>
      </w:r>
      <w:r w:rsidR="003C1218" w:rsidRPr="00A4399B">
        <w:rPr>
          <w:rFonts w:ascii="Arial" w:hAnsi="Arial" w:cs="Arial"/>
          <w:i/>
          <w:sz w:val="22"/>
          <w:szCs w:val="22"/>
        </w:rPr>
        <w:t>PA and MA</w:t>
      </w:r>
      <w:r w:rsidR="003C1218" w:rsidRPr="00A4399B">
        <w:rPr>
          <w:rFonts w:ascii="Arial" w:hAnsi="Arial" w:cs="Arial"/>
          <w:sz w:val="22"/>
          <w:szCs w:val="22"/>
        </w:rPr>
        <w:t xml:space="preserve"> </w:t>
      </w:r>
      <w:r w:rsidR="00AB252F" w:rsidRPr="00A4399B">
        <w:rPr>
          <w:rFonts w:ascii="Arial" w:hAnsi="Arial" w:cs="Arial"/>
          <w:sz w:val="22"/>
          <w:szCs w:val="22"/>
        </w:rPr>
        <w:t xml:space="preserve">in the </w:t>
      </w:r>
      <w:r w:rsidR="00E72CB6" w:rsidRPr="00A4399B">
        <w:rPr>
          <w:rFonts w:ascii="Arial" w:hAnsi="Arial" w:cs="Arial"/>
          <w:sz w:val="22"/>
          <w:szCs w:val="22"/>
        </w:rPr>
        <w:t xml:space="preserve">Administrative Court, </w:t>
      </w:r>
      <w:r w:rsidRPr="00A4399B">
        <w:rPr>
          <w:rFonts w:ascii="Arial" w:hAnsi="Arial" w:cs="Arial"/>
          <w:sz w:val="22"/>
          <w:szCs w:val="22"/>
        </w:rPr>
        <w:t xml:space="preserve">the respondent’s legal team has </w:t>
      </w:r>
      <w:r w:rsidR="00590E03">
        <w:rPr>
          <w:rFonts w:ascii="Arial" w:hAnsi="Arial" w:cs="Arial"/>
          <w:sz w:val="22"/>
          <w:szCs w:val="22"/>
        </w:rPr>
        <w:t>twice</w:t>
      </w:r>
      <w:r w:rsidR="0019554D" w:rsidRPr="00A4399B">
        <w:rPr>
          <w:rFonts w:ascii="Arial" w:hAnsi="Arial" w:cs="Arial"/>
          <w:sz w:val="22"/>
          <w:szCs w:val="22"/>
        </w:rPr>
        <w:t xml:space="preserve"> </w:t>
      </w:r>
      <w:r w:rsidRPr="00A4399B">
        <w:rPr>
          <w:rFonts w:ascii="Arial" w:hAnsi="Arial" w:cs="Arial"/>
          <w:sz w:val="22"/>
          <w:szCs w:val="22"/>
        </w:rPr>
        <w:t>attempted to circumvent the process by circulating a  “note</w:t>
      </w:r>
      <w:r w:rsidR="00B72817">
        <w:rPr>
          <w:rFonts w:ascii="Arial" w:hAnsi="Arial" w:cs="Arial"/>
          <w:sz w:val="22"/>
          <w:szCs w:val="22"/>
        </w:rPr>
        <w:t>”</w:t>
      </w:r>
      <w:r w:rsidRPr="00A4399B">
        <w:rPr>
          <w:rFonts w:ascii="Arial" w:hAnsi="Arial" w:cs="Arial"/>
          <w:sz w:val="22"/>
          <w:szCs w:val="22"/>
        </w:rPr>
        <w:t xml:space="preserve"> to asylum support judges urging them not follow </w:t>
      </w:r>
      <w:r w:rsidR="000A58DB" w:rsidRPr="00A4399B">
        <w:rPr>
          <w:rFonts w:ascii="Arial" w:hAnsi="Arial" w:cs="Arial"/>
          <w:i/>
          <w:sz w:val="22"/>
          <w:szCs w:val="22"/>
        </w:rPr>
        <w:t>PA and MA</w:t>
      </w:r>
      <w:r w:rsidR="000A58DB" w:rsidRPr="00A4399B">
        <w:rPr>
          <w:rFonts w:ascii="Arial" w:hAnsi="Arial" w:cs="Arial"/>
          <w:sz w:val="22"/>
          <w:szCs w:val="22"/>
        </w:rPr>
        <w:t xml:space="preserve"> </w:t>
      </w:r>
      <w:r w:rsidR="00D969F9" w:rsidRPr="00A4399B">
        <w:rPr>
          <w:rFonts w:ascii="Arial" w:hAnsi="Arial" w:cs="Arial"/>
          <w:sz w:val="22"/>
          <w:szCs w:val="22"/>
        </w:rPr>
        <w:t>and suggesting that</w:t>
      </w:r>
      <w:r w:rsidRPr="00A4399B">
        <w:rPr>
          <w:rFonts w:ascii="Arial" w:hAnsi="Arial" w:cs="Arial"/>
          <w:sz w:val="22"/>
          <w:szCs w:val="22"/>
        </w:rPr>
        <w:t xml:space="preserve"> the SSHD had invited the High Court to quash the decisions in judicial review proceeding</w:t>
      </w:r>
      <w:r w:rsidR="007D433D">
        <w:rPr>
          <w:rFonts w:ascii="Arial" w:hAnsi="Arial" w:cs="Arial"/>
          <w:sz w:val="22"/>
          <w:szCs w:val="22"/>
        </w:rPr>
        <w:t>s,</w:t>
      </w:r>
      <w:r w:rsidRPr="00A4399B">
        <w:rPr>
          <w:rFonts w:ascii="Arial" w:hAnsi="Arial" w:cs="Arial"/>
          <w:sz w:val="22"/>
          <w:szCs w:val="22"/>
        </w:rPr>
        <w:t xml:space="preserve"> by consent</w:t>
      </w:r>
      <w:r w:rsidRPr="00A4399B">
        <w:rPr>
          <w:rFonts w:ascii="Arial" w:hAnsi="Arial" w:cs="Arial"/>
          <w:i/>
          <w:sz w:val="22"/>
          <w:szCs w:val="22"/>
        </w:rPr>
        <w:t xml:space="preserve"> </w:t>
      </w:r>
      <w:r w:rsidRPr="00A4399B">
        <w:rPr>
          <w:rFonts w:ascii="Arial" w:hAnsi="Arial" w:cs="Arial"/>
          <w:sz w:val="22"/>
          <w:szCs w:val="22"/>
        </w:rPr>
        <w:t xml:space="preserve">pursuant to CPR 54.18. It would </w:t>
      </w:r>
      <w:r w:rsidR="00696496" w:rsidRPr="00A4399B">
        <w:rPr>
          <w:rFonts w:ascii="Arial" w:hAnsi="Arial" w:cs="Arial"/>
          <w:sz w:val="22"/>
          <w:szCs w:val="22"/>
        </w:rPr>
        <w:t>seem,</w:t>
      </w:r>
      <w:r w:rsidRPr="00A4399B">
        <w:rPr>
          <w:rFonts w:ascii="Arial" w:hAnsi="Arial" w:cs="Arial"/>
          <w:sz w:val="22"/>
          <w:szCs w:val="22"/>
        </w:rPr>
        <w:t xml:space="preserve"> however, that no such application had </w:t>
      </w:r>
      <w:r w:rsidR="00696496" w:rsidRPr="00A4399B">
        <w:rPr>
          <w:rFonts w:ascii="Arial" w:hAnsi="Arial" w:cs="Arial"/>
          <w:sz w:val="22"/>
          <w:szCs w:val="22"/>
        </w:rPr>
        <w:t xml:space="preserve">in fact </w:t>
      </w:r>
      <w:r w:rsidRPr="00A4399B">
        <w:rPr>
          <w:rFonts w:ascii="Arial" w:hAnsi="Arial" w:cs="Arial"/>
          <w:sz w:val="22"/>
          <w:szCs w:val="22"/>
        </w:rPr>
        <w:t>been made, at least not to the knowledge of the Claimant’s solicitors</w:t>
      </w:r>
      <w:r w:rsidR="00650BFF">
        <w:rPr>
          <w:rFonts w:ascii="Arial" w:hAnsi="Arial" w:cs="Arial"/>
          <w:sz w:val="22"/>
          <w:szCs w:val="22"/>
        </w:rPr>
        <w:t xml:space="preserve"> and counsel</w:t>
      </w:r>
      <w:r w:rsidRPr="00A4399B">
        <w:rPr>
          <w:rFonts w:ascii="Arial" w:hAnsi="Arial" w:cs="Arial"/>
          <w:sz w:val="22"/>
          <w:szCs w:val="22"/>
        </w:rPr>
        <w:t>, who</w:t>
      </w:r>
      <w:r w:rsidR="000D39DB">
        <w:rPr>
          <w:rFonts w:ascii="Arial" w:hAnsi="Arial" w:cs="Arial"/>
          <w:sz w:val="22"/>
          <w:szCs w:val="22"/>
        </w:rPr>
        <w:t xml:space="preserve"> </w:t>
      </w:r>
      <w:r w:rsidRPr="00A4399B">
        <w:rPr>
          <w:rFonts w:ascii="Arial" w:hAnsi="Arial" w:cs="Arial"/>
          <w:sz w:val="22"/>
          <w:szCs w:val="22"/>
        </w:rPr>
        <w:t xml:space="preserve">confirmed that the SSHD had not approached them and </w:t>
      </w:r>
      <w:r w:rsidR="00DE0AED">
        <w:rPr>
          <w:rFonts w:ascii="Arial" w:hAnsi="Arial" w:cs="Arial"/>
          <w:sz w:val="22"/>
          <w:szCs w:val="22"/>
        </w:rPr>
        <w:t>they have not</w:t>
      </w:r>
      <w:r w:rsidRPr="00A4399B">
        <w:rPr>
          <w:rFonts w:ascii="Arial" w:hAnsi="Arial" w:cs="Arial"/>
          <w:sz w:val="22"/>
          <w:szCs w:val="22"/>
        </w:rPr>
        <w:t xml:space="preserve"> consent</w:t>
      </w:r>
      <w:r w:rsidR="00DE0AED">
        <w:rPr>
          <w:rFonts w:ascii="Arial" w:hAnsi="Arial" w:cs="Arial"/>
          <w:sz w:val="22"/>
          <w:szCs w:val="22"/>
        </w:rPr>
        <w:t>ed</w:t>
      </w:r>
      <w:r w:rsidRPr="00A4399B">
        <w:rPr>
          <w:rFonts w:ascii="Arial" w:hAnsi="Arial" w:cs="Arial"/>
          <w:sz w:val="22"/>
          <w:szCs w:val="22"/>
        </w:rPr>
        <w:t xml:space="preserve"> to </w:t>
      </w:r>
      <w:r w:rsidR="00B04447" w:rsidRPr="00B04447">
        <w:rPr>
          <w:rFonts w:ascii="Arial" w:hAnsi="Arial" w:cs="Arial"/>
          <w:i/>
          <w:sz w:val="22"/>
          <w:szCs w:val="22"/>
        </w:rPr>
        <w:t>PA and MA</w:t>
      </w:r>
      <w:r w:rsidR="00B04447">
        <w:rPr>
          <w:rFonts w:ascii="Arial" w:hAnsi="Arial" w:cs="Arial"/>
          <w:sz w:val="22"/>
          <w:szCs w:val="22"/>
        </w:rPr>
        <w:t xml:space="preserve"> being</w:t>
      </w:r>
      <w:r w:rsidRPr="00A4399B">
        <w:rPr>
          <w:rFonts w:ascii="Arial" w:hAnsi="Arial" w:cs="Arial"/>
          <w:sz w:val="22"/>
          <w:szCs w:val="22"/>
        </w:rPr>
        <w:t xml:space="preserve"> quashed. The SSHD’s legal team has not produced any evidence in this appeal that such an application had been made.</w:t>
      </w:r>
    </w:p>
    <w:p w14:paraId="37CB8D63" w14:textId="77777777" w:rsidR="00D35745" w:rsidRPr="00A4399B" w:rsidRDefault="00D35745" w:rsidP="00D35745">
      <w:pPr>
        <w:tabs>
          <w:tab w:val="num" w:pos="0"/>
        </w:tabs>
        <w:jc w:val="both"/>
        <w:rPr>
          <w:rFonts w:ascii="Arial" w:hAnsi="Arial" w:cs="Arial"/>
          <w:sz w:val="22"/>
          <w:szCs w:val="22"/>
        </w:rPr>
      </w:pPr>
    </w:p>
    <w:p w14:paraId="16FBE583" w14:textId="034748FD" w:rsidR="00D35745" w:rsidRPr="00A4399B" w:rsidRDefault="007E6782" w:rsidP="00F2301A">
      <w:pPr>
        <w:tabs>
          <w:tab w:val="num" w:pos="0"/>
          <w:tab w:val="left" w:pos="560"/>
        </w:tabs>
        <w:jc w:val="both"/>
        <w:rPr>
          <w:rFonts w:ascii="Arial" w:hAnsi="Arial" w:cs="Arial"/>
          <w:sz w:val="22"/>
          <w:szCs w:val="22"/>
        </w:rPr>
      </w:pPr>
      <w:r>
        <w:rPr>
          <w:rFonts w:ascii="Arial" w:hAnsi="Arial" w:cs="Arial"/>
          <w:sz w:val="22"/>
          <w:szCs w:val="22"/>
        </w:rPr>
        <w:t>44</w:t>
      </w:r>
      <w:r w:rsidR="00D35745" w:rsidRPr="00A4399B">
        <w:rPr>
          <w:rFonts w:ascii="Arial" w:hAnsi="Arial" w:cs="Arial"/>
          <w:sz w:val="22"/>
          <w:szCs w:val="22"/>
        </w:rPr>
        <w:t>.</w:t>
      </w:r>
      <w:r w:rsidR="00D35745" w:rsidRPr="00A4399B">
        <w:rPr>
          <w:rFonts w:ascii="Arial" w:hAnsi="Arial" w:cs="Arial"/>
          <w:sz w:val="22"/>
          <w:szCs w:val="22"/>
        </w:rPr>
        <w:tab/>
        <w:t xml:space="preserve">Even assuming I accept the SSHD’s criticisms </w:t>
      </w:r>
      <w:r w:rsidR="00AA6ED5" w:rsidRPr="00A4399B">
        <w:rPr>
          <w:rFonts w:ascii="Arial" w:hAnsi="Arial" w:cs="Arial"/>
          <w:sz w:val="22"/>
          <w:szCs w:val="22"/>
        </w:rPr>
        <w:t>of PA</w:t>
      </w:r>
      <w:r w:rsidR="00390C8A" w:rsidRPr="00A4399B">
        <w:rPr>
          <w:rFonts w:ascii="Arial" w:hAnsi="Arial" w:cs="Arial"/>
          <w:i/>
          <w:sz w:val="22"/>
          <w:szCs w:val="22"/>
        </w:rPr>
        <w:t xml:space="preserve"> and MA</w:t>
      </w:r>
      <w:r w:rsidR="00D35745" w:rsidRPr="00A4399B">
        <w:rPr>
          <w:rFonts w:ascii="Arial" w:hAnsi="Arial" w:cs="Arial"/>
          <w:sz w:val="22"/>
          <w:szCs w:val="22"/>
        </w:rPr>
        <w:t xml:space="preserve">, which I do not, I can see no rational basis for revisiting at tribunal level a matter that is </w:t>
      </w:r>
      <w:r w:rsidR="006119BD">
        <w:rPr>
          <w:rFonts w:ascii="Arial" w:hAnsi="Arial" w:cs="Arial"/>
          <w:sz w:val="22"/>
          <w:szCs w:val="22"/>
        </w:rPr>
        <w:t>currently</w:t>
      </w:r>
      <w:r w:rsidR="00D35745" w:rsidRPr="00A4399B">
        <w:rPr>
          <w:rFonts w:ascii="Arial" w:hAnsi="Arial" w:cs="Arial"/>
          <w:sz w:val="22"/>
          <w:szCs w:val="22"/>
        </w:rPr>
        <w:t xml:space="preserve"> before the Administrative Court</w:t>
      </w:r>
      <w:r w:rsidR="00610E32" w:rsidRPr="00A4399B">
        <w:rPr>
          <w:rFonts w:ascii="Arial" w:hAnsi="Arial" w:cs="Arial"/>
          <w:sz w:val="22"/>
          <w:szCs w:val="22"/>
        </w:rPr>
        <w:t xml:space="preserve"> and</w:t>
      </w:r>
      <w:r w:rsidR="00B72672" w:rsidRPr="00A4399B">
        <w:rPr>
          <w:rFonts w:ascii="Arial" w:hAnsi="Arial" w:cs="Arial"/>
          <w:sz w:val="22"/>
          <w:szCs w:val="22"/>
        </w:rPr>
        <w:t xml:space="preserve"> </w:t>
      </w:r>
      <w:r w:rsidR="00610E32" w:rsidRPr="00A4399B">
        <w:rPr>
          <w:rFonts w:ascii="Arial" w:hAnsi="Arial" w:cs="Arial"/>
          <w:sz w:val="22"/>
          <w:szCs w:val="22"/>
        </w:rPr>
        <w:t>s</w:t>
      </w:r>
      <w:r w:rsidR="00BE02EF" w:rsidRPr="00A4399B">
        <w:rPr>
          <w:rFonts w:ascii="Arial" w:hAnsi="Arial" w:cs="Arial"/>
          <w:sz w:val="22"/>
          <w:szCs w:val="22"/>
        </w:rPr>
        <w:t>oon</w:t>
      </w:r>
      <w:r w:rsidR="00610E32" w:rsidRPr="00A4399B">
        <w:rPr>
          <w:rFonts w:ascii="Arial" w:hAnsi="Arial" w:cs="Arial"/>
          <w:sz w:val="22"/>
          <w:szCs w:val="22"/>
        </w:rPr>
        <w:t xml:space="preserve"> to be decided</w:t>
      </w:r>
      <w:r w:rsidR="00D35745" w:rsidRPr="00A4399B">
        <w:rPr>
          <w:rFonts w:ascii="Arial" w:hAnsi="Arial" w:cs="Arial"/>
          <w:sz w:val="22"/>
          <w:szCs w:val="22"/>
        </w:rPr>
        <w:t>.</w:t>
      </w:r>
    </w:p>
    <w:p w14:paraId="769AD99A" w14:textId="77777777" w:rsidR="00D35745" w:rsidRPr="00A4399B" w:rsidRDefault="00D35745" w:rsidP="00D35745">
      <w:pPr>
        <w:pStyle w:val="ListParagraph"/>
        <w:ind w:left="0"/>
        <w:jc w:val="both"/>
        <w:rPr>
          <w:rFonts w:ascii="Arial" w:hAnsi="Arial" w:cs="Arial"/>
          <w:sz w:val="22"/>
          <w:szCs w:val="22"/>
        </w:rPr>
      </w:pPr>
    </w:p>
    <w:p w14:paraId="60DA647D" w14:textId="7AF77A79" w:rsidR="00B72672" w:rsidRPr="00A4399B" w:rsidRDefault="00B72672" w:rsidP="00B72672">
      <w:pPr>
        <w:autoSpaceDE w:val="0"/>
        <w:autoSpaceDN w:val="0"/>
        <w:adjustRightInd w:val="0"/>
        <w:jc w:val="both"/>
        <w:rPr>
          <w:rFonts w:ascii="Arial" w:eastAsia="TimesNewRoman" w:hAnsi="Arial" w:cs="Arial"/>
          <w:b/>
          <w:i/>
          <w:iCs/>
          <w:sz w:val="22"/>
          <w:szCs w:val="22"/>
          <w:lang w:eastAsia="en-US"/>
        </w:rPr>
      </w:pPr>
      <w:r w:rsidRPr="00A4399B">
        <w:rPr>
          <w:rFonts w:ascii="Arial" w:eastAsia="TimesNewRoman" w:hAnsi="Arial" w:cs="Arial"/>
          <w:b/>
          <w:i/>
          <w:iCs/>
          <w:sz w:val="22"/>
          <w:szCs w:val="22"/>
          <w:lang w:eastAsia="en-US"/>
        </w:rPr>
        <w:t>Are decisions of the Principal Judge binding precedent?</w:t>
      </w:r>
    </w:p>
    <w:p w14:paraId="03227D74" w14:textId="77777777" w:rsidR="00AF61A6" w:rsidRPr="00A4399B" w:rsidRDefault="00AF61A6" w:rsidP="00B72672">
      <w:pPr>
        <w:autoSpaceDE w:val="0"/>
        <w:autoSpaceDN w:val="0"/>
        <w:adjustRightInd w:val="0"/>
        <w:jc w:val="both"/>
        <w:rPr>
          <w:rFonts w:ascii="Arial" w:eastAsia="TimesNewRoman" w:hAnsi="Arial" w:cs="Arial"/>
          <w:b/>
          <w:iCs/>
          <w:sz w:val="22"/>
          <w:szCs w:val="22"/>
          <w:lang w:eastAsia="en-US"/>
        </w:rPr>
      </w:pPr>
    </w:p>
    <w:p w14:paraId="2974E22F" w14:textId="177D7361" w:rsidR="00C17519" w:rsidRPr="00A4399B" w:rsidRDefault="007E6782" w:rsidP="00F2301A">
      <w:pPr>
        <w:tabs>
          <w:tab w:val="num" w:pos="0"/>
          <w:tab w:val="left" w:pos="546"/>
        </w:tabs>
        <w:autoSpaceDE w:val="0"/>
        <w:autoSpaceDN w:val="0"/>
        <w:adjustRightInd w:val="0"/>
        <w:jc w:val="both"/>
        <w:rPr>
          <w:rFonts w:ascii="Arial" w:eastAsia="TimesNewRoman" w:hAnsi="Arial" w:cs="Arial"/>
          <w:iCs/>
          <w:sz w:val="22"/>
          <w:szCs w:val="22"/>
          <w:lang w:eastAsia="en-US"/>
        </w:rPr>
      </w:pPr>
      <w:r>
        <w:rPr>
          <w:rFonts w:ascii="Arial" w:hAnsi="Arial" w:cs="Arial"/>
          <w:sz w:val="22"/>
          <w:szCs w:val="22"/>
        </w:rPr>
        <w:t>45</w:t>
      </w:r>
      <w:r w:rsidR="00AF61A6" w:rsidRPr="00A4399B">
        <w:rPr>
          <w:rFonts w:ascii="Arial" w:hAnsi="Arial" w:cs="Arial"/>
          <w:sz w:val="22"/>
          <w:szCs w:val="22"/>
        </w:rPr>
        <w:t xml:space="preserve">. </w:t>
      </w:r>
      <w:r w:rsidR="00F2301A">
        <w:rPr>
          <w:rFonts w:ascii="Arial" w:hAnsi="Arial" w:cs="Arial"/>
          <w:sz w:val="22"/>
          <w:szCs w:val="22"/>
        </w:rPr>
        <w:t xml:space="preserve"> </w:t>
      </w:r>
      <w:r w:rsidR="00AF61A6" w:rsidRPr="00A4399B">
        <w:rPr>
          <w:rFonts w:ascii="Arial" w:hAnsi="Arial" w:cs="Arial"/>
          <w:sz w:val="22"/>
          <w:szCs w:val="22"/>
        </w:rPr>
        <w:t>It is</w:t>
      </w:r>
      <w:r w:rsidR="00B72672" w:rsidRPr="00A4399B">
        <w:rPr>
          <w:rFonts w:ascii="Arial" w:hAnsi="Arial" w:cs="Arial"/>
          <w:sz w:val="22"/>
          <w:szCs w:val="22"/>
        </w:rPr>
        <w:t xml:space="preserve"> suggest</w:t>
      </w:r>
      <w:r w:rsidR="00AF61A6" w:rsidRPr="00A4399B">
        <w:rPr>
          <w:rFonts w:ascii="Arial" w:hAnsi="Arial" w:cs="Arial"/>
          <w:sz w:val="22"/>
          <w:szCs w:val="22"/>
        </w:rPr>
        <w:t xml:space="preserve">ed by </w:t>
      </w:r>
      <w:r w:rsidR="00B72672" w:rsidRPr="00A4399B">
        <w:rPr>
          <w:rFonts w:ascii="Arial" w:hAnsi="Arial" w:cs="Arial"/>
          <w:sz w:val="22"/>
          <w:szCs w:val="22"/>
        </w:rPr>
        <w:t xml:space="preserve">the SSHD’s legal team </w:t>
      </w:r>
      <w:r w:rsidR="00B04447">
        <w:rPr>
          <w:rFonts w:ascii="Arial" w:hAnsi="Arial" w:cs="Arial"/>
          <w:sz w:val="22"/>
          <w:szCs w:val="22"/>
        </w:rPr>
        <w:t xml:space="preserve">in their </w:t>
      </w:r>
      <w:r w:rsidR="00B72672" w:rsidRPr="00A4399B">
        <w:rPr>
          <w:rFonts w:ascii="Arial" w:hAnsi="Arial" w:cs="Arial"/>
          <w:sz w:val="22"/>
          <w:szCs w:val="22"/>
        </w:rPr>
        <w:t xml:space="preserve">note of 3 March 2021 that asylum support judges have wrongly treated </w:t>
      </w:r>
      <w:r w:rsidR="00B72672" w:rsidRPr="00A4399B">
        <w:rPr>
          <w:rFonts w:ascii="Arial" w:hAnsi="Arial" w:cs="Arial"/>
          <w:i/>
          <w:sz w:val="22"/>
          <w:szCs w:val="22"/>
        </w:rPr>
        <w:t>PA and MA</w:t>
      </w:r>
      <w:r w:rsidR="00B72672" w:rsidRPr="00A4399B">
        <w:rPr>
          <w:rFonts w:ascii="Arial" w:hAnsi="Arial" w:cs="Arial"/>
          <w:sz w:val="22"/>
          <w:szCs w:val="22"/>
        </w:rPr>
        <w:t xml:space="preserve"> as binding precedent. </w:t>
      </w:r>
      <w:r w:rsidR="00493B7E" w:rsidRPr="00A4399B">
        <w:rPr>
          <w:rFonts w:ascii="Arial" w:hAnsi="Arial" w:cs="Arial"/>
          <w:sz w:val="22"/>
          <w:szCs w:val="22"/>
        </w:rPr>
        <w:t>This is</w:t>
      </w:r>
      <w:r w:rsidR="00C17519" w:rsidRPr="00A4399B">
        <w:rPr>
          <w:rFonts w:ascii="Arial" w:hAnsi="Arial" w:cs="Arial"/>
          <w:sz w:val="22"/>
          <w:szCs w:val="22"/>
        </w:rPr>
        <w:t xml:space="preserve"> incorrect. </w:t>
      </w:r>
      <w:r w:rsidR="00B72672" w:rsidRPr="00A4399B">
        <w:rPr>
          <w:rFonts w:ascii="Arial" w:eastAsia="TimesNewRoman" w:hAnsi="Arial" w:cs="Arial"/>
          <w:iCs/>
          <w:sz w:val="22"/>
          <w:szCs w:val="22"/>
          <w:lang w:eastAsia="en-US"/>
        </w:rPr>
        <w:t xml:space="preserve">The </w:t>
      </w:r>
      <w:r w:rsidR="00B72672" w:rsidRPr="00A4399B">
        <w:rPr>
          <w:rFonts w:ascii="Arial" w:hAnsi="Arial" w:cs="Arial"/>
          <w:sz w:val="22"/>
          <w:szCs w:val="22"/>
        </w:rPr>
        <w:t>Tribunal does not consider itself bound by its own decisions, including</w:t>
      </w:r>
      <w:r w:rsidR="00EA18F0">
        <w:rPr>
          <w:rFonts w:ascii="Arial" w:hAnsi="Arial" w:cs="Arial"/>
          <w:sz w:val="22"/>
          <w:szCs w:val="22"/>
        </w:rPr>
        <w:t xml:space="preserve"> </w:t>
      </w:r>
      <w:r w:rsidR="00B72672" w:rsidRPr="00A4399B">
        <w:rPr>
          <w:rFonts w:ascii="Arial" w:eastAsia="TimesNewRoman" w:hAnsi="Arial" w:cs="Arial"/>
          <w:iCs/>
          <w:sz w:val="22"/>
          <w:szCs w:val="22"/>
          <w:lang w:eastAsia="en-US"/>
        </w:rPr>
        <w:t>decisions of the Principal Judge</w:t>
      </w:r>
      <w:r w:rsidR="00EA18F0">
        <w:rPr>
          <w:rFonts w:ascii="Arial" w:eastAsia="TimesNewRoman" w:hAnsi="Arial" w:cs="Arial"/>
          <w:iCs/>
          <w:sz w:val="22"/>
          <w:szCs w:val="22"/>
          <w:lang w:eastAsia="en-US"/>
        </w:rPr>
        <w:t xml:space="preserve"> that are treated as “landmark judgments”</w:t>
      </w:r>
      <w:r w:rsidR="00B72672" w:rsidRPr="00A4399B">
        <w:rPr>
          <w:rFonts w:ascii="Arial" w:eastAsia="TimesNewRoman" w:hAnsi="Arial" w:cs="Arial"/>
          <w:iCs/>
          <w:sz w:val="22"/>
          <w:szCs w:val="22"/>
          <w:lang w:eastAsia="en-US"/>
        </w:rPr>
        <w:t>. Historically</w:t>
      </w:r>
      <w:r w:rsidR="00B72672" w:rsidRPr="00A4399B">
        <w:rPr>
          <w:rFonts w:ascii="Arial" w:eastAsia="TimesNewRoman" w:hAnsi="Arial" w:cs="Arial"/>
          <w:iCs/>
          <w:sz w:val="22"/>
          <w:szCs w:val="22"/>
        </w:rPr>
        <w:t>,</w:t>
      </w:r>
      <w:r w:rsidR="00B72672" w:rsidRPr="00A4399B">
        <w:rPr>
          <w:rFonts w:ascii="Arial" w:eastAsia="TimesNewRoman" w:hAnsi="Arial" w:cs="Arial"/>
          <w:iCs/>
          <w:sz w:val="22"/>
          <w:szCs w:val="22"/>
          <w:lang w:eastAsia="en-US"/>
        </w:rPr>
        <w:t xml:space="preserve"> the latter are treated as persuasive. The jurisdiction </w:t>
      </w:r>
      <w:r w:rsidR="009352C8" w:rsidRPr="00A4399B">
        <w:rPr>
          <w:rFonts w:ascii="Arial" w:eastAsia="TimesNewRoman" w:hAnsi="Arial" w:cs="Arial"/>
          <w:iCs/>
          <w:sz w:val="22"/>
          <w:szCs w:val="22"/>
          <w:lang w:eastAsia="en-US"/>
        </w:rPr>
        <w:t xml:space="preserve">(then called the Asylum Support Adjudicators) </w:t>
      </w:r>
      <w:r w:rsidR="00B72672" w:rsidRPr="00A4399B">
        <w:rPr>
          <w:rFonts w:ascii="Arial" w:eastAsia="TimesNewRoman" w:hAnsi="Arial" w:cs="Arial"/>
          <w:iCs/>
          <w:sz w:val="22"/>
          <w:szCs w:val="22"/>
          <w:lang w:eastAsia="en-US"/>
        </w:rPr>
        <w:t>was created under the 1999 Act by the Home Secretary</w:t>
      </w:r>
      <w:r w:rsidR="004400D6">
        <w:rPr>
          <w:rFonts w:ascii="Arial" w:eastAsia="TimesNewRoman" w:hAnsi="Arial" w:cs="Arial"/>
          <w:iCs/>
          <w:sz w:val="22"/>
          <w:szCs w:val="22"/>
          <w:lang w:eastAsia="en-US"/>
        </w:rPr>
        <w:t>.</w:t>
      </w:r>
      <w:r w:rsidR="00B72672" w:rsidRPr="00A4399B">
        <w:rPr>
          <w:rFonts w:ascii="Arial" w:eastAsia="TimesNewRoman" w:hAnsi="Arial" w:cs="Arial"/>
          <w:iCs/>
          <w:sz w:val="22"/>
          <w:szCs w:val="22"/>
          <w:lang w:eastAsia="en-US"/>
        </w:rPr>
        <w:t xml:space="preserve"> There is no statutory appeal to the Upper Tribunal and the only remedy is judicial review. Claims issued by unsuccessful </w:t>
      </w:r>
      <w:r w:rsidR="004552DA">
        <w:rPr>
          <w:rFonts w:ascii="Arial" w:eastAsia="TimesNewRoman" w:hAnsi="Arial" w:cs="Arial"/>
          <w:iCs/>
          <w:sz w:val="22"/>
          <w:szCs w:val="22"/>
          <w:lang w:eastAsia="en-US"/>
        </w:rPr>
        <w:t xml:space="preserve">appellants before asylum support judges </w:t>
      </w:r>
      <w:r w:rsidR="00B72672" w:rsidRPr="00A4399B">
        <w:rPr>
          <w:rFonts w:ascii="Arial" w:eastAsia="TimesNewRoman" w:hAnsi="Arial" w:cs="Arial"/>
          <w:iCs/>
          <w:sz w:val="22"/>
          <w:szCs w:val="22"/>
          <w:lang w:eastAsia="en-US"/>
        </w:rPr>
        <w:t>are often withdrawn by consent upon the SSHD granting some form of leave or support</w:t>
      </w:r>
      <w:r w:rsidR="00AD2F42">
        <w:rPr>
          <w:rFonts w:ascii="Arial" w:eastAsia="TimesNewRoman" w:hAnsi="Arial" w:cs="Arial"/>
          <w:iCs/>
          <w:sz w:val="22"/>
          <w:szCs w:val="22"/>
          <w:lang w:eastAsia="en-US"/>
        </w:rPr>
        <w:t xml:space="preserve"> to the Claimant (as it appears </w:t>
      </w:r>
      <w:r w:rsidR="00767FD1">
        <w:rPr>
          <w:rFonts w:ascii="Arial" w:eastAsia="TimesNewRoman" w:hAnsi="Arial" w:cs="Arial"/>
          <w:iCs/>
          <w:sz w:val="22"/>
          <w:szCs w:val="22"/>
          <w:lang w:eastAsia="en-US"/>
        </w:rPr>
        <w:t xml:space="preserve">may have been </w:t>
      </w:r>
      <w:r w:rsidR="00564987">
        <w:rPr>
          <w:rFonts w:ascii="Arial" w:eastAsia="TimesNewRoman" w:hAnsi="Arial" w:cs="Arial"/>
          <w:iCs/>
          <w:sz w:val="22"/>
          <w:szCs w:val="22"/>
          <w:lang w:eastAsia="en-US"/>
        </w:rPr>
        <w:t xml:space="preserve">the case </w:t>
      </w:r>
      <w:r w:rsidR="00B04447">
        <w:rPr>
          <w:rFonts w:ascii="Arial" w:eastAsia="TimesNewRoman" w:hAnsi="Arial" w:cs="Arial"/>
          <w:iCs/>
          <w:sz w:val="22"/>
          <w:szCs w:val="22"/>
          <w:lang w:eastAsia="en-US"/>
        </w:rPr>
        <w:t>in</w:t>
      </w:r>
      <w:r w:rsidR="00564987">
        <w:rPr>
          <w:rFonts w:ascii="Arial" w:eastAsia="TimesNewRoman" w:hAnsi="Arial" w:cs="Arial"/>
          <w:iCs/>
          <w:sz w:val="22"/>
          <w:szCs w:val="22"/>
          <w:lang w:eastAsia="en-US"/>
        </w:rPr>
        <w:t xml:space="preserve"> KMI)</w:t>
      </w:r>
      <w:r w:rsidR="00B72672" w:rsidRPr="00A4399B">
        <w:rPr>
          <w:rFonts w:ascii="Arial" w:eastAsia="TimesNewRoman" w:hAnsi="Arial" w:cs="Arial"/>
          <w:iCs/>
          <w:sz w:val="22"/>
          <w:szCs w:val="22"/>
          <w:lang w:eastAsia="en-US"/>
        </w:rPr>
        <w:t xml:space="preserve">, rendering the challenge academic, with the result that there is then a scarcity of asylum support jurisprudence. </w:t>
      </w:r>
    </w:p>
    <w:p w14:paraId="5AB9017E" w14:textId="77777777" w:rsidR="00C17519" w:rsidRPr="00A4399B" w:rsidRDefault="00C17519" w:rsidP="00C17519">
      <w:pPr>
        <w:tabs>
          <w:tab w:val="num" w:pos="0"/>
        </w:tabs>
        <w:autoSpaceDE w:val="0"/>
        <w:autoSpaceDN w:val="0"/>
        <w:adjustRightInd w:val="0"/>
        <w:jc w:val="both"/>
        <w:rPr>
          <w:rFonts w:ascii="Arial" w:eastAsia="TimesNewRoman" w:hAnsi="Arial" w:cs="Arial"/>
          <w:iCs/>
          <w:sz w:val="22"/>
          <w:szCs w:val="22"/>
          <w:lang w:eastAsia="en-US"/>
        </w:rPr>
      </w:pPr>
    </w:p>
    <w:p w14:paraId="5B36D01A" w14:textId="42C00BCE" w:rsidR="00B72672" w:rsidRPr="00A4399B" w:rsidRDefault="007E6782" w:rsidP="00F2301A">
      <w:pPr>
        <w:tabs>
          <w:tab w:val="num" w:pos="0"/>
          <w:tab w:val="left" w:pos="588"/>
        </w:tabs>
        <w:autoSpaceDE w:val="0"/>
        <w:autoSpaceDN w:val="0"/>
        <w:adjustRightInd w:val="0"/>
        <w:jc w:val="both"/>
        <w:rPr>
          <w:rFonts w:ascii="Arial" w:eastAsia="TimesNewRoman" w:hAnsi="Arial" w:cs="Arial"/>
          <w:iCs/>
          <w:sz w:val="22"/>
          <w:szCs w:val="22"/>
        </w:rPr>
      </w:pPr>
      <w:r>
        <w:rPr>
          <w:rFonts w:ascii="Arial" w:eastAsia="TimesNewRoman" w:hAnsi="Arial" w:cs="Arial"/>
          <w:iCs/>
          <w:sz w:val="22"/>
          <w:szCs w:val="22"/>
          <w:lang w:eastAsia="en-US"/>
        </w:rPr>
        <w:t>46</w:t>
      </w:r>
      <w:r w:rsidR="00C17519" w:rsidRPr="00A4399B">
        <w:rPr>
          <w:rFonts w:ascii="Arial" w:eastAsia="TimesNewRoman" w:hAnsi="Arial" w:cs="Arial"/>
          <w:iCs/>
          <w:sz w:val="22"/>
          <w:szCs w:val="22"/>
          <w:lang w:eastAsia="en-US"/>
        </w:rPr>
        <w:t>.</w:t>
      </w:r>
      <w:r w:rsidR="00BD1216" w:rsidRPr="00A4399B">
        <w:rPr>
          <w:rFonts w:ascii="Arial" w:eastAsia="TimesNewRoman" w:hAnsi="Arial" w:cs="Arial"/>
          <w:iCs/>
          <w:sz w:val="22"/>
          <w:szCs w:val="22"/>
          <w:lang w:eastAsia="en-US"/>
        </w:rPr>
        <w:t xml:space="preserve"> </w:t>
      </w:r>
      <w:r w:rsidR="00F2301A">
        <w:rPr>
          <w:rFonts w:ascii="Arial" w:eastAsia="TimesNewRoman" w:hAnsi="Arial" w:cs="Arial"/>
          <w:iCs/>
          <w:sz w:val="22"/>
          <w:szCs w:val="22"/>
          <w:lang w:eastAsia="en-US"/>
        </w:rPr>
        <w:t xml:space="preserve"> </w:t>
      </w:r>
      <w:r w:rsidR="00B72672" w:rsidRPr="00A4399B">
        <w:rPr>
          <w:rFonts w:ascii="Arial" w:eastAsia="TimesNewRoman" w:hAnsi="Arial" w:cs="Arial"/>
          <w:iCs/>
          <w:sz w:val="22"/>
          <w:szCs w:val="22"/>
          <w:lang w:eastAsia="en-US"/>
        </w:rPr>
        <w:t>In the absence of a statutory right of appeal and binding precedents from Superior Courts, there is need for some form of guidance for judges to avoid conflicting decisions on identical issues.</w:t>
      </w:r>
      <w:r w:rsidR="00471445" w:rsidRPr="00A4399B">
        <w:rPr>
          <w:rFonts w:ascii="Arial" w:eastAsia="TimesNewRoman" w:hAnsi="Arial" w:cs="Arial"/>
          <w:iCs/>
          <w:sz w:val="22"/>
          <w:szCs w:val="22"/>
          <w:lang w:eastAsia="en-US"/>
        </w:rPr>
        <w:t xml:space="preserve"> </w:t>
      </w:r>
      <w:r w:rsidR="00B72672" w:rsidRPr="00A4399B">
        <w:rPr>
          <w:rFonts w:ascii="Arial" w:eastAsia="TimesNewRoman" w:hAnsi="Arial" w:cs="Arial"/>
          <w:iCs/>
          <w:sz w:val="22"/>
          <w:szCs w:val="22"/>
          <w:lang w:eastAsia="en-US"/>
        </w:rPr>
        <w:t xml:space="preserve">That guidance is provided </w:t>
      </w:r>
      <w:r w:rsidR="00B72672" w:rsidRPr="00A4399B">
        <w:rPr>
          <w:rFonts w:ascii="Arial" w:eastAsia="TimesNewRoman" w:hAnsi="Arial" w:cs="Arial"/>
          <w:iCs/>
          <w:sz w:val="22"/>
          <w:szCs w:val="22"/>
        </w:rPr>
        <w:t xml:space="preserve">by me in my capacity as </w:t>
      </w:r>
      <w:r w:rsidR="00B72672" w:rsidRPr="00A4399B">
        <w:rPr>
          <w:rFonts w:ascii="Arial" w:eastAsia="TimesNewRoman" w:hAnsi="Arial" w:cs="Arial"/>
          <w:iCs/>
          <w:sz w:val="22"/>
          <w:szCs w:val="22"/>
          <w:lang w:eastAsia="en-US"/>
        </w:rPr>
        <w:t xml:space="preserve">Principal Judge, </w:t>
      </w:r>
      <w:r w:rsidR="00C20551">
        <w:rPr>
          <w:rFonts w:ascii="Arial" w:eastAsia="TimesNewRoman" w:hAnsi="Arial" w:cs="Arial"/>
          <w:iCs/>
          <w:sz w:val="22"/>
          <w:szCs w:val="22"/>
          <w:lang w:eastAsia="en-US"/>
        </w:rPr>
        <w:t xml:space="preserve">in </w:t>
      </w:r>
      <w:r w:rsidR="00877567">
        <w:rPr>
          <w:rFonts w:ascii="Arial" w:eastAsia="TimesNewRoman" w:hAnsi="Arial" w:cs="Arial"/>
          <w:iCs/>
          <w:sz w:val="22"/>
          <w:szCs w:val="22"/>
          <w:lang w:eastAsia="en-US"/>
        </w:rPr>
        <w:t xml:space="preserve">what </w:t>
      </w:r>
      <w:r w:rsidR="002D7824">
        <w:rPr>
          <w:rFonts w:ascii="Arial" w:eastAsia="TimesNewRoman" w:hAnsi="Arial" w:cs="Arial"/>
          <w:iCs/>
          <w:sz w:val="22"/>
          <w:szCs w:val="22"/>
          <w:lang w:eastAsia="en-US"/>
        </w:rPr>
        <w:t>is commonly referred to as</w:t>
      </w:r>
      <w:r w:rsidR="00877567">
        <w:rPr>
          <w:rFonts w:ascii="Arial" w:eastAsia="TimesNewRoman" w:hAnsi="Arial" w:cs="Arial"/>
          <w:iCs/>
          <w:sz w:val="22"/>
          <w:szCs w:val="22"/>
          <w:lang w:eastAsia="en-US"/>
        </w:rPr>
        <w:t xml:space="preserve"> </w:t>
      </w:r>
      <w:r w:rsidR="009561B2">
        <w:rPr>
          <w:rFonts w:ascii="Arial" w:eastAsia="TimesNewRoman" w:hAnsi="Arial" w:cs="Arial"/>
          <w:iCs/>
          <w:sz w:val="22"/>
          <w:szCs w:val="22"/>
          <w:lang w:eastAsia="en-US"/>
        </w:rPr>
        <w:t xml:space="preserve">“landmark </w:t>
      </w:r>
      <w:r w:rsidR="00FD5926">
        <w:rPr>
          <w:rFonts w:ascii="Arial" w:eastAsia="TimesNewRoman" w:hAnsi="Arial" w:cs="Arial"/>
          <w:iCs/>
          <w:sz w:val="22"/>
          <w:szCs w:val="22"/>
          <w:lang w:eastAsia="en-US"/>
        </w:rPr>
        <w:t>judgments</w:t>
      </w:r>
      <w:r w:rsidR="009561B2">
        <w:rPr>
          <w:rFonts w:ascii="Arial" w:eastAsia="TimesNewRoman" w:hAnsi="Arial" w:cs="Arial"/>
          <w:iCs/>
          <w:sz w:val="22"/>
          <w:szCs w:val="22"/>
          <w:lang w:eastAsia="en-US"/>
        </w:rPr>
        <w:t xml:space="preserve">.” </w:t>
      </w:r>
      <w:r w:rsidR="00FD5926">
        <w:rPr>
          <w:rFonts w:ascii="Arial" w:eastAsia="TimesNewRoman" w:hAnsi="Arial" w:cs="Arial"/>
          <w:iCs/>
          <w:sz w:val="22"/>
          <w:szCs w:val="22"/>
          <w:lang w:eastAsia="en-US"/>
        </w:rPr>
        <w:t>These decisions</w:t>
      </w:r>
      <w:r w:rsidR="006C4DB5">
        <w:rPr>
          <w:rFonts w:ascii="Arial" w:eastAsia="TimesNewRoman" w:hAnsi="Arial" w:cs="Arial"/>
          <w:iCs/>
          <w:sz w:val="22"/>
          <w:szCs w:val="22"/>
        </w:rPr>
        <w:t xml:space="preserve">, unlike those </w:t>
      </w:r>
      <w:r w:rsidR="00B40C2D">
        <w:rPr>
          <w:rFonts w:ascii="Arial" w:eastAsia="TimesNewRoman" w:hAnsi="Arial" w:cs="Arial"/>
          <w:iCs/>
          <w:sz w:val="22"/>
          <w:szCs w:val="22"/>
        </w:rPr>
        <w:t>listed as lead cases under rule 18 of the Tribunal Procedure Rules</w:t>
      </w:r>
      <w:r w:rsidR="00C007FC">
        <w:rPr>
          <w:rFonts w:ascii="Arial" w:eastAsia="TimesNewRoman" w:hAnsi="Arial" w:cs="Arial"/>
          <w:iCs/>
          <w:sz w:val="22"/>
          <w:szCs w:val="22"/>
        </w:rPr>
        <w:t xml:space="preserve">, </w:t>
      </w:r>
      <w:r w:rsidR="00E65DB1">
        <w:rPr>
          <w:rFonts w:ascii="Arial" w:eastAsia="TimesNewRoman" w:hAnsi="Arial" w:cs="Arial"/>
          <w:iCs/>
          <w:sz w:val="22"/>
          <w:szCs w:val="22"/>
        </w:rPr>
        <w:t>are not intended to</w:t>
      </w:r>
      <w:r w:rsidR="00B04447">
        <w:rPr>
          <w:rFonts w:ascii="Arial" w:eastAsia="TimesNewRoman" w:hAnsi="Arial" w:cs="Arial"/>
          <w:iCs/>
          <w:sz w:val="22"/>
          <w:szCs w:val="22"/>
        </w:rPr>
        <w:t>,</w:t>
      </w:r>
      <w:r w:rsidR="00E65DB1">
        <w:rPr>
          <w:rFonts w:ascii="Arial" w:eastAsia="TimesNewRoman" w:hAnsi="Arial" w:cs="Arial"/>
          <w:iCs/>
          <w:sz w:val="22"/>
          <w:szCs w:val="22"/>
        </w:rPr>
        <w:t xml:space="preserve"> and</w:t>
      </w:r>
      <w:r w:rsidR="00C77BBD">
        <w:rPr>
          <w:rFonts w:ascii="Arial" w:eastAsia="TimesNewRoman" w:hAnsi="Arial" w:cs="Arial"/>
          <w:iCs/>
          <w:sz w:val="22"/>
          <w:szCs w:val="22"/>
        </w:rPr>
        <w:t xml:space="preserve"> </w:t>
      </w:r>
      <w:r w:rsidR="00B72672" w:rsidRPr="00A4399B">
        <w:rPr>
          <w:rFonts w:ascii="Arial" w:eastAsia="TimesNewRoman" w:hAnsi="Arial" w:cs="Arial"/>
          <w:iCs/>
          <w:sz w:val="22"/>
          <w:szCs w:val="22"/>
        </w:rPr>
        <w:t>do</w:t>
      </w:r>
      <w:r w:rsidR="00B72672" w:rsidRPr="00A4399B">
        <w:rPr>
          <w:rFonts w:ascii="Arial" w:eastAsia="TimesNewRoman" w:hAnsi="Arial" w:cs="Arial"/>
          <w:iCs/>
          <w:sz w:val="22"/>
          <w:szCs w:val="22"/>
          <w:lang w:eastAsia="en-US"/>
        </w:rPr>
        <w:t xml:space="preserve"> not bind other tribunal judges</w:t>
      </w:r>
      <w:r w:rsidR="00B72672" w:rsidRPr="00A4399B">
        <w:rPr>
          <w:rFonts w:ascii="Arial" w:eastAsia="TimesNewRoman" w:hAnsi="Arial" w:cs="Arial"/>
          <w:iCs/>
          <w:sz w:val="22"/>
          <w:szCs w:val="22"/>
        </w:rPr>
        <w:t>.</w:t>
      </w:r>
      <w:r w:rsidR="00B72672" w:rsidRPr="00A4399B">
        <w:rPr>
          <w:rFonts w:ascii="Arial" w:eastAsia="TimesNewRoman" w:hAnsi="Arial" w:cs="Arial"/>
          <w:iCs/>
          <w:sz w:val="22"/>
          <w:szCs w:val="22"/>
          <w:lang w:eastAsia="en-US"/>
        </w:rPr>
        <w:t xml:space="preserve"> Lending support to the historical practice in this tribunal is the observation by</w:t>
      </w:r>
      <w:r w:rsidR="00B72672" w:rsidRPr="00A4399B">
        <w:rPr>
          <w:rFonts w:ascii="Arial" w:eastAsia="TimesNewRoman" w:hAnsi="Arial" w:cs="Arial"/>
          <w:iCs/>
          <w:sz w:val="22"/>
          <w:szCs w:val="22"/>
        </w:rPr>
        <w:t xml:space="preserve"> Salmon LJ in </w:t>
      </w:r>
      <w:r w:rsidR="00B72672" w:rsidRPr="00A4399B">
        <w:rPr>
          <w:rFonts w:ascii="Arial" w:eastAsia="TimesNewRoman" w:hAnsi="Arial" w:cs="Arial"/>
          <w:i/>
          <w:iCs/>
          <w:sz w:val="22"/>
          <w:szCs w:val="22"/>
        </w:rPr>
        <w:t>West Midland Baptist (Trust) Association v Birmingham Corporation</w:t>
      </w:r>
      <w:r w:rsidR="00B72672" w:rsidRPr="00A4399B">
        <w:rPr>
          <w:rFonts w:ascii="Arial" w:eastAsia="TimesNewRoman" w:hAnsi="Arial" w:cs="Arial"/>
          <w:iCs/>
          <w:sz w:val="22"/>
          <w:szCs w:val="22"/>
        </w:rPr>
        <w:t xml:space="preserve"> [1968] 2WLR 535, that such decisions are to be treated by the tribunal “with great respect and considered as persuasive authority.” They are </w:t>
      </w:r>
      <w:r w:rsidR="00823C92" w:rsidRPr="00A4399B">
        <w:rPr>
          <w:rFonts w:ascii="Arial" w:eastAsia="TimesNewRoman" w:hAnsi="Arial" w:cs="Arial"/>
          <w:iCs/>
          <w:sz w:val="22"/>
          <w:szCs w:val="22"/>
        </w:rPr>
        <w:t xml:space="preserve">scrutinised </w:t>
      </w:r>
      <w:r w:rsidR="00B72672" w:rsidRPr="00A4399B">
        <w:rPr>
          <w:rFonts w:ascii="Arial" w:eastAsia="TimesNewRoman" w:hAnsi="Arial" w:cs="Arial"/>
          <w:iCs/>
          <w:sz w:val="22"/>
          <w:szCs w:val="22"/>
        </w:rPr>
        <w:t xml:space="preserve">most carefully </w:t>
      </w:r>
      <w:r w:rsidR="009C707D" w:rsidRPr="00A4399B">
        <w:rPr>
          <w:rFonts w:ascii="Arial" w:eastAsia="TimesNewRoman" w:hAnsi="Arial" w:cs="Arial"/>
          <w:iCs/>
          <w:sz w:val="22"/>
          <w:szCs w:val="22"/>
        </w:rPr>
        <w:t xml:space="preserve">by other asylum support judges </w:t>
      </w:r>
      <w:r w:rsidR="00B72672" w:rsidRPr="00A4399B">
        <w:rPr>
          <w:rFonts w:ascii="Arial" w:eastAsia="TimesNewRoman" w:hAnsi="Arial" w:cs="Arial"/>
          <w:iCs/>
          <w:sz w:val="22"/>
          <w:szCs w:val="22"/>
        </w:rPr>
        <w:t xml:space="preserve">and if necessary, rejected, particularly in cases which raise points of law of outstanding importance with far reaching consequences. </w:t>
      </w:r>
      <w:r w:rsidR="00D02725">
        <w:rPr>
          <w:rFonts w:ascii="Arial" w:eastAsia="TimesNewRoman" w:hAnsi="Arial" w:cs="Arial"/>
          <w:iCs/>
          <w:sz w:val="22"/>
          <w:szCs w:val="22"/>
        </w:rPr>
        <w:t xml:space="preserve">But </w:t>
      </w:r>
      <w:r w:rsidR="009C707D" w:rsidRPr="00A4399B">
        <w:rPr>
          <w:rFonts w:ascii="Arial" w:eastAsia="TimesNewRoman" w:hAnsi="Arial" w:cs="Arial"/>
          <w:iCs/>
          <w:sz w:val="22"/>
          <w:szCs w:val="22"/>
        </w:rPr>
        <w:t>I repeat,</w:t>
      </w:r>
      <w:r w:rsidR="005562C9" w:rsidRPr="00A4399B">
        <w:rPr>
          <w:rFonts w:ascii="Arial" w:eastAsia="TimesNewRoman" w:hAnsi="Arial" w:cs="Arial"/>
          <w:iCs/>
          <w:sz w:val="22"/>
          <w:szCs w:val="22"/>
        </w:rPr>
        <w:t xml:space="preserve"> </w:t>
      </w:r>
      <w:r w:rsidR="009C707D" w:rsidRPr="00A4399B">
        <w:rPr>
          <w:rFonts w:ascii="Arial" w:eastAsia="TimesNewRoman" w:hAnsi="Arial" w:cs="Arial"/>
          <w:iCs/>
          <w:sz w:val="22"/>
          <w:szCs w:val="22"/>
        </w:rPr>
        <w:t>t</w:t>
      </w:r>
      <w:r w:rsidR="00B72672" w:rsidRPr="00A4399B">
        <w:rPr>
          <w:rFonts w:ascii="Arial" w:eastAsia="TimesNewRoman" w:hAnsi="Arial" w:cs="Arial"/>
          <w:iCs/>
          <w:sz w:val="22"/>
          <w:szCs w:val="22"/>
        </w:rPr>
        <w:t xml:space="preserve">hey are never treated as binding. </w:t>
      </w:r>
    </w:p>
    <w:p w14:paraId="68391CEC" w14:textId="77777777" w:rsidR="009C707D" w:rsidRPr="00A4399B" w:rsidRDefault="009C707D" w:rsidP="009C707D">
      <w:pPr>
        <w:tabs>
          <w:tab w:val="num" w:pos="0"/>
        </w:tabs>
        <w:autoSpaceDE w:val="0"/>
        <w:autoSpaceDN w:val="0"/>
        <w:adjustRightInd w:val="0"/>
        <w:jc w:val="both"/>
        <w:rPr>
          <w:rFonts w:ascii="Arial" w:hAnsi="Arial" w:cs="Arial"/>
          <w:sz w:val="22"/>
          <w:szCs w:val="22"/>
        </w:rPr>
      </w:pPr>
    </w:p>
    <w:p w14:paraId="592F93CF" w14:textId="0FAF5B2A" w:rsidR="00436267" w:rsidRPr="00A4399B" w:rsidRDefault="007E6782" w:rsidP="00F2301A">
      <w:pPr>
        <w:tabs>
          <w:tab w:val="num" w:pos="0"/>
          <w:tab w:val="left" w:pos="546"/>
        </w:tabs>
        <w:jc w:val="both"/>
        <w:rPr>
          <w:rFonts w:ascii="Arial" w:hAnsi="Arial" w:cs="Arial"/>
          <w:sz w:val="22"/>
          <w:szCs w:val="22"/>
        </w:rPr>
      </w:pPr>
      <w:r>
        <w:rPr>
          <w:rFonts w:ascii="Arial" w:hAnsi="Arial" w:cs="Arial"/>
          <w:sz w:val="22"/>
          <w:szCs w:val="22"/>
        </w:rPr>
        <w:t>47</w:t>
      </w:r>
      <w:r w:rsidR="005562C9" w:rsidRPr="00A4399B">
        <w:rPr>
          <w:rFonts w:ascii="Arial" w:hAnsi="Arial" w:cs="Arial"/>
          <w:sz w:val="22"/>
          <w:szCs w:val="22"/>
        </w:rPr>
        <w:t>.</w:t>
      </w:r>
      <w:r w:rsidR="00F2301A">
        <w:rPr>
          <w:rFonts w:ascii="Arial" w:hAnsi="Arial" w:cs="Arial"/>
          <w:sz w:val="22"/>
          <w:szCs w:val="22"/>
        </w:rPr>
        <w:t xml:space="preserve"> </w:t>
      </w:r>
      <w:r w:rsidR="005562C9" w:rsidRPr="00A4399B">
        <w:rPr>
          <w:rFonts w:ascii="Arial" w:hAnsi="Arial" w:cs="Arial"/>
          <w:sz w:val="22"/>
          <w:szCs w:val="22"/>
        </w:rPr>
        <w:t xml:space="preserve"> </w:t>
      </w:r>
      <w:r w:rsidR="00CE2219" w:rsidRPr="00A4399B">
        <w:rPr>
          <w:rFonts w:ascii="Arial" w:hAnsi="Arial" w:cs="Arial"/>
          <w:sz w:val="22"/>
          <w:szCs w:val="22"/>
        </w:rPr>
        <w:t xml:space="preserve">I </w:t>
      </w:r>
      <w:r w:rsidR="005D2ED7" w:rsidRPr="00A4399B">
        <w:rPr>
          <w:rFonts w:ascii="Arial" w:hAnsi="Arial" w:cs="Arial"/>
          <w:sz w:val="22"/>
          <w:szCs w:val="22"/>
        </w:rPr>
        <w:t xml:space="preserve">turn </w:t>
      </w:r>
      <w:r w:rsidR="00115114" w:rsidRPr="00A4399B">
        <w:rPr>
          <w:rFonts w:ascii="Arial" w:hAnsi="Arial" w:cs="Arial"/>
          <w:sz w:val="22"/>
          <w:szCs w:val="22"/>
        </w:rPr>
        <w:t>next to</w:t>
      </w:r>
      <w:r w:rsidR="00CE2219" w:rsidRPr="00A4399B">
        <w:rPr>
          <w:rFonts w:ascii="Arial" w:hAnsi="Arial" w:cs="Arial"/>
          <w:sz w:val="22"/>
          <w:szCs w:val="22"/>
        </w:rPr>
        <w:t xml:space="preserve"> deal with </w:t>
      </w:r>
      <w:r w:rsidR="00740988" w:rsidRPr="00A4399B">
        <w:rPr>
          <w:rFonts w:ascii="Arial" w:hAnsi="Arial" w:cs="Arial"/>
          <w:sz w:val="22"/>
          <w:szCs w:val="22"/>
        </w:rPr>
        <w:t>the four issues</w:t>
      </w:r>
      <w:r w:rsidR="00C37888" w:rsidRPr="00A4399B">
        <w:rPr>
          <w:rFonts w:ascii="Arial" w:hAnsi="Arial" w:cs="Arial"/>
          <w:sz w:val="22"/>
          <w:szCs w:val="22"/>
        </w:rPr>
        <w:t xml:space="preserve"> set out in paragraph 30 above</w:t>
      </w:r>
      <w:r w:rsidR="007D3E6C" w:rsidRPr="00A4399B">
        <w:rPr>
          <w:rFonts w:ascii="Arial" w:hAnsi="Arial" w:cs="Arial"/>
          <w:sz w:val="22"/>
          <w:szCs w:val="22"/>
        </w:rPr>
        <w:t xml:space="preserve"> on which </w:t>
      </w:r>
      <w:r w:rsidR="00FF7066" w:rsidRPr="00A4399B">
        <w:rPr>
          <w:rFonts w:ascii="Arial" w:hAnsi="Arial" w:cs="Arial"/>
          <w:sz w:val="22"/>
          <w:szCs w:val="22"/>
        </w:rPr>
        <w:t>I have received submissions from both</w:t>
      </w:r>
      <w:r w:rsidR="00F9369F" w:rsidRPr="00A4399B">
        <w:rPr>
          <w:rFonts w:ascii="Arial" w:hAnsi="Arial" w:cs="Arial"/>
          <w:sz w:val="22"/>
          <w:szCs w:val="22"/>
        </w:rPr>
        <w:t xml:space="preserve"> parties</w:t>
      </w:r>
      <w:r w:rsidR="007D3E6C" w:rsidRPr="00A4399B">
        <w:rPr>
          <w:rFonts w:ascii="Arial" w:hAnsi="Arial" w:cs="Arial"/>
          <w:sz w:val="22"/>
          <w:szCs w:val="22"/>
        </w:rPr>
        <w:t xml:space="preserve">. I will then address any additional </w:t>
      </w:r>
      <w:r w:rsidR="008469DF" w:rsidRPr="00A4399B">
        <w:rPr>
          <w:rFonts w:ascii="Arial" w:hAnsi="Arial" w:cs="Arial"/>
          <w:sz w:val="22"/>
          <w:szCs w:val="22"/>
        </w:rPr>
        <w:t>matters raised</w:t>
      </w:r>
      <w:r w:rsidR="00F9369F" w:rsidRPr="00A4399B">
        <w:rPr>
          <w:rFonts w:ascii="Arial" w:hAnsi="Arial" w:cs="Arial"/>
          <w:sz w:val="22"/>
          <w:szCs w:val="22"/>
        </w:rPr>
        <w:t>.</w:t>
      </w:r>
    </w:p>
    <w:p w14:paraId="2D4C2750" w14:textId="77777777" w:rsidR="00436267" w:rsidRPr="00A4399B" w:rsidRDefault="00436267" w:rsidP="00436267">
      <w:pPr>
        <w:jc w:val="both"/>
        <w:rPr>
          <w:rFonts w:ascii="Arial" w:hAnsi="Arial" w:cs="Arial"/>
          <w:b/>
          <w:sz w:val="22"/>
          <w:szCs w:val="22"/>
        </w:rPr>
      </w:pPr>
    </w:p>
    <w:p w14:paraId="5E8164D4" w14:textId="12756293" w:rsidR="00436267" w:rsidRPr="00A4399B" w:rsidRDefault="00436267" w:rsidP="00436267">
      <w:pPr>
        <w:jc w:val="both"/>
        <w:rPr>
          <w:rFonts w:ascii="Arial" w:hAnsi="Arial" w:cs="Arial"/>
          <w:b/>
          <w:sz w:val="22"/>
          <w:szCs w:val="22"/>
        </w:rPr>
      </w:pPr>
      <w:r w:rsidRPr="00A4399B">
        <w:rPr>
          <w:rFonts w:ascii="Arial" w:hAnsi="Arial" w:cs="Arial"/>
          <w:b/>
          <w:sz w:val="22"/>
          <w:szCs w:val="22"/>
        </w:rPr>
        <w:t>Scope of the section 4(2) power</w:t>
      </w:r>
    </w:p>
    <w:p w14:paraId="3C535DCC" w14:textId="626C25CC" w:rsidR="00E674C2" w:rsidRPr="00A4399B" w:rsidRDefault="00E674C2" w:rsidP="00436267">
      <w:pPr>
        <w:jc w:val="both"/>
        <w:rPr>
          <w:rFonts w:ascii="Arial" w:hAnsi="Arial" w:cs="Arial"/>
          <w:b/>
          <w:i/>
          <w:sz w:val="22"/>
          <w:szCs w:val="22"/>
        </w:rPr>
      </w:pPr>
      <w:r w:rsidRPr="00A4399B">
        <w:rPr>
          <w:rFonts w:ascii="Arial" w:hAnsi="Arial" w:cs="Arial"/>
          <w:b/>
          <w:i/>
          <w:sz w:val="22"/>
          <w:szCs w:val="22"/>
        </w:rPr>
        <w:t xml:space="preserve">Does </w:t>
      </w:r>
      <w:r w:rsidR="00B04447">
        <w:rPr>
          <w:rFonts w:ascii="Arial" w:hAnsi="Arial" w:cs="Arial"/>
          <w:b/>
          <w:i/>
          <w:sz w:val="22"/>
          <w:szCs w:val="22"/>
        </w:rPr>
        <w:t>r</w:t>
      </w:r>
      <w:r w:rsidRPr="00A4399B">
        <w:rPr>
          <w:rFonts w:ascii="Arial" w:hAnsi="Arial" w:cs="Arial"/>
          <w:b/>
          <w:i/>
          <w:sz w:val="22"/>
          <w:szCs w:val="22"/>
        </w:rPr>
        <w:t xml:space="preserve">egulation 3 prohibit the exercise of the section 4(2) power for a person in respect of whom the conditions stated in </w:t>
      </w:r>
      <w:r w:rsidR="00B04447">
        <w:rPr>
          <w:rFonts w:ascii="Arial" w:hAnsi="Arial" w:cs="Arial"/>
          <w:b/>
          <w:i/>
          <w:sz w:val="22"/>
          <w:szCs w:val="22"/>
        </w:rPr>
        <w:t>r</w:t>
      </w:r>
      <w:r w:rsidRPr="00A4399B">
        <w:rPr>
          <w:rFonts w:ascii="Arial" w:hAnsi="Arial" w:cs="Arial"/>
          <w:b/>
          <w:i/>
          <w:sz w:val="22"/>
          <w:szCs w:val="22"/>
        </w:rPr>
        <w:t>egulation. 3(2) are not satisfied</w:t>
      </w:r>
      <w:r w:rsidR="008C0E34" w:rsidRPr="00A4399B">
        <w:rPr>
          <w:rFonts w:ascii="Arial" w:hAnsi="Arial" w:cs="Arial"/>
          <w:b/>
          <w:i/>
          <w:sz w:val="22"/>
          <w:szCs w:val="22"/>
        </w:rPr>
        <w:t>?</w:t>
      </w:r>
    </w:p>
    <w:p w14:paraId="52C29F3B" w14:textId="77777777" w:rsidR="00436267" w:rsidRPr="00A4399B" w:rsidRDefault="00436267" w:rsidP="00436267">
      <w:pPr>
        <w:pStyle w:val="ListParagraph"/>
        <w:jc w:val="both"/>
        <w:rPr>
          <w:rFonts w:ascii="Arial" w:hAnsi="Arial" w:cs="Arial"/>
          <w:b/>
          <w:sz w:val="22"/>
          <w:szCs w:val="22"/>
        </w:rPr>
      </w:pPr>
    </w:p>
    <w:p w14:paraId="7829B02D" w14:textId="29CCD8A0" w:rsidR="006868FB" w:rsidRPr="00B131F4" w:rsidRDefault="00B131F4" w:rsidP="00451F18">
      <w:pPr>
        <w:tabs>
          <w:tab w:val="left" w:pos="567"/>
        </w:tabs>
        <w:autoSpaceDE w:val="0"/>
        <w:autoSpaceDN w:val="0"/>
        <w:adjustRightInd w:val="0"/>
        <w:jc w:val="both"/>
        <w:rPr>
          <w:rFonts w:ascii="Arial" w:hAnsi="Arial" w:cs="Arial"/>
          <w:sz w:val="22"/>
          <w:szCs w:val="22"/>
        </w:rPr>
      </w:pPr>
      <w:r>
        <w:rPr>
          <w:rFonts w:ascii="Arial" w:hAnsi="Arial" w:cs="Arial"/>
          <w:sz w:val="22"/>
          <w:szCs w:val="22"/>
        </w:rPr>
        <w:t>4</w:t>
      </w:r>
      <w:r w:rsidR="00F2301A">
        <w:rPr>
          <w:rFonts w:ascii="Arial" w:hAnsi="Arial" w:cs="Arial"/>
          <w:sz w:val="22"/>
          <w:szCs w:val="22"/>
        </w:rPr>
        <w:t>8</w:t>
      </w:r>
      <w:r>
        <w:rPr>
          <w:rFonts w:ascii="Arial" w:hAnsi="Arial" w:cs="Arial"/>
          <w:sz w:val="22"/>
          <w:szCs w:val="22"/>
        </w:rPr>
        <w:t>.</w:t>
      </w:r>
      <w:r w:rsidR="00F2301A">
        <w:rPr>
          <w:rFonts w:ascii="Arial" w:hAnsi="Arial" w:cs="Arial"/>
          <w:sz w:val="22"/>
          <w:szCs w:val="22"/>
        </w:rPr>
        <w:tab/>
      </w:r>
      <w:r w:rsidR="00B553EB" w:rsidRPr="00B131F4">
        <w:rPr>
          <w:rFonts w:ascii="Arial" w:hAnsi="Arial" w:cs="Arial"/>
          <w:sz w:val="22"/>
          <w:szCs w:val="22"/>
        </w:rPr>
        <w:t>Mr Cox</w:t>
      </w:r>
      <w:r w:rsidR="0052345D" w:rsidRPr="00B131F4">
        <w:rPr>
          <w:rFonts w:ascii="Arial" w:hAnsi="Arial" w:cs="Arial"/>
          <w:sz w:val="22"/>
          <w:szCs w:val="22"/>
        </w:rPr>
        <w:t xml:space="preserve"> </w:t>
      </w:r>
      <w:r w:rsidR="004B1441" w:rsidRPr="00B131F4">
        <w:rPr>
          <w:rFonts w:ascii="Arial" w:hAnsi="Arial" w:cs="Arial"/>
          <w:sz w:val="22"/>
          <w:szCs w:val="22"/>
        </w:rPr>
        <w:t>argue</w:t>
      </w:r>
      <w:r w:rsidR="00D27216">
        <w:rPr>
          <w:rFonts w:ascii="Arial" w:hAnsi="Arial" w:cs="Arial"/>
          <w:sz w:val="22"/>
          <w:szCs w:val="22"/>
        </w:rPr>
        <w:t>d</w:t>
      </w:r>
      <w:r w:rsidR="0052345D" w:rsidRPr="00B131F4">
        <w:rPr>
          <w:rFonts w:ascii="Arial" w:hAnsi="Arial" w:cs="Arial"/>
          <w:sz w:val="22"/>
          <w:szCs w:val="22"/>
        </w:rPr>
        <w:t xml:space="preserve"> that </w:t>
      </w:r>
      <w:r w:rsidR="00F54DAF" w:rsidRPr="00B131F4">
        <w:rPr>
          <w:rFonts w:ascii="Arial" w:hAnsi="Arial" w:cs="Arial"/>
          <w:sz w:val="22"/>
          <w:szCs w:val="22"/>
        </w:rPr>
        <w:t>s</w:t>
      </w:r>
      <w:r w:rsidR="00FE20CB" w:rsidRPr="00B131F4">
        <w:rPr>
          <w:rFonts w:ascii="Arial" w:hAnsi="Arial" w:cs="Arial"/>
        </w:rPr>
        <w:t>ection</w:t>
      </w:r>
      <w:r w:rsidR="00FE20CB" w:rsidRPr="00B131F4">
        <w:rPr>
          <w:rFonts w:ascii="Arial" w:hAnsi="Arial" w:cs="Arial"/>
          <w:sz w:val="22"/>
          <w:szCs w:val="22"/>
        </w:rPr>
        <w:t xml:space="preserve"> 4(2) confers </w:t>
      </w:r>
      <w:r w:rsidR="00CE2A61" w:rsidRPr="00B131F4">
        <w:rPr>
          <w:rFonts w:ascii="Arial" w:hAnsi="Arial" w:cs="Arial"/>
          <w:sz w:val="22"/>
          <w:szCs w:val="22"/>
        </w:rPr>
        <w:t xml:space="preserve">on the SSHD </w:t>
      </w:r>
      <w:r w:rsidR="00FE20CB" w:rsidRPr="00B131F4">
        <w:rPr>
          <w:rFonts w:ascii="Arial" w:hAnsi="Arial" w:cs="Arial"/>
          <w:sz w:val="22"/>
          <w:szCs w:val="22"/>
        </w:rPr>
        <w:t>a power to provide accommodation</w:t>
      </w:r>
      <w:r w:rsidR="00BE6A56" w:rsidRPr="00B131F4">
        <w:rPr>
          <w:rFonts w:ascii="Arial" w:hAnsi="Arial" w:cs="Arial"/>
          <w:sz w:val="22"/>
          <w:szCs w:val="22"/>
        </w:rPr>
        <w:t xml:space="preserve"> </w:t>
      </w:r>
      <w:r w:rsidR="006E0069" w:rsidRPr="00B131F4">
        <w:rPr>
          <w:rFonts w:ascii="Arial" w:hAnsi="Arial" w:cs="Arial"/>
          <w:sz w:val="22"/>
          <w:szCs w:val="22"/>
        </w:rPr>
        <w:t>unfettered by</w:t>
      </w:r>
      <w:r w:rsidR="002C19FC" w:rsidRPr="00B131F4">
        <w:rPr>
          <w:rFonts w:ascii="Arial" w:hAnsi="Arial" w:cs="Arial"/>
          <w:sz w:val="22"/>
          <w:szCs w:val="22"/>
        </w:rPr>
        <w:t xml:space="preserve"> </w:t>
      </w:r>
      <w:r w:rsidR="00FE20CB" w:rsidRPr="00B131F4">
        <w:rPr>
          <w:rFonts w:ascii="Arial" w:hAnsi="Arial" w:cs="Arial"/>
          <w:sz w:val="22"/>
          <w:szCs w:val="22"/>
        </w:rPr>
        <w:t>reg</w:t>
      </w:r>
      <w:r w:rsidR="00BC0E4B" w:rsidRPr="00B131F4">
        <w:rPr>
          <w:rFonts w:ascii="Arial" w:hAnsi="Arial" w:cs="Arial"/>
          <w:sz w:val="22"/>
          <w:szCs w:val="22"/>
        </w:rPr>
        <w:t>ulation</w:t>
      </w:r>
      <w:r w:rsidR="00FE20CB" w:rsidRPr="00B131F4">
        <w:rPr>
          <w:rFonts w:ascii="Arial" w:hAnsi="Arial" w:cs="Arial"/>
          <w:sz w:val="22"/>
          <w:szCs w:val="22"/>
        </w:rPr>
        <w:t xml:space="preserve"> 3</w:t>
      </w:r>
      <w:r w:rsidR="00706912" w:rsidRPr="00B131F4">
        <w:rPr>
          <w:rFonts w:ascii="Arial" w:hAnsi="Arial" w:cs="Arial"/>
          <w:sz w:val="22"/>
          <w:szCs w:val="22"/>
        </w:rPr>
        <w:t xml:space="preserve"> of the</w:t>
      </w:r>
      <w:r w:rsidR="00FE20CB" w:rsidRPr="00B131F4">
        <w:rPr>
          <w:rFonts w:ascii="Arial" w:hAnsi="Arial" w:cs="Arial"/>
          <w:sz w:val="22"/>
          <w:szCs w:val="22"/>
        </w:rPr>
        <w:t xml:space="preserve"> </w:t>
      </w:r>
      <w:r w:rsidR="009515BA" w:rsidRPr="00B131F4">
        <w:rPr>
          <w:rFonts w:ascii="Arial" w:hAnsi="Arial" w:cs="Arial"/>
          <w:sz w:val="22"/>
          <w:szCs w:val="22"/>
        </w:rPr>
        <w:t xml:space="preserve">2005 </w:t>
      </w:r>
      <w:r w:rsidR="00FE20CB" w:rsidRPr="00B131F4">
        <w:rPr>
          <w:rFonts w:ascii="Arial" w:hAnsi="Arial" w:cs="Arial"/>
          <w:sz w:val="22"/>
          <w:szCs w:val="22"/>
        </w:rPr>
        <w:t>Regulations</w:t>
      </w:r>
      <w:r w:rsidR="00706912" w:rsidRPr="00B131F4">
        <w:rPr>
          <w:rFonts w:ascii="Arial" w:hAnsi="Arial" w:cs="Arial"/>
          <w:sz w:val="22"/>
          <w:szCs w:val="22"/>
        </w:rPr>
        <w:t xml:space="preserve">, </w:t>
      </w:r>
      <w:r w:rsidR="00FF7A7D" w:rsidRPr="00B131F4">
        <w:rPr>
          <w:rFonts w:ascii="Arial" w:hAnsi="Arial" w:cs="Arial"/>
          <w:sz w:val="22"/>
          <w:szCs w:val="22"/>
        </w:rPr>
        <w:t>even if</w:t>
      </w:r>
      <w:r w:rsidR="00FE20CB" w:rsidRPr="00B131F4">
        <w:rPr>
          <w:rFonts w:ascii="Arial" w:hAnsi="Arial" w:cs="Arial"/>
          <w:sz w:val="22"/>
          <w:szCs w:val="22"/>
        </w:rPr>
        <w:t xml:space="preserve"> the conditions stated in reg</w:t>
      </w:r>
      <w:r w:rsidR="00B95E0E" w:rsidRPr="00B131F4">
        <w:rPr>
          <w:rFonts w:ascii="Arial" w:hAnsi="Arial" w:cs="Arial"/>
          <w:sz w:val="22"/>
          <w:szCs w:val="22"/>
        </w:rPr>
        <w:t>ulation</w:t>
      </w:r>
      <w:r w:rsidR="00FE20CB" w:rsidRPr="00B131F4">
        <w:rPr>
          <w:rFonts w:ascii="Arial" w:hAnsi="Arial" w:cs="Arial"/>
          <w:sz w:val="22"/>
          <w:szCs w:val="22"/>
        </w:rPr>
        <w:t xml:space="preserve"> 3(2) are not </w:t>
      </w:r>
      <w:r w:rsidR="00B5185F" w:rsidRPr="00B131F4">
        <w:rPr>
          <w:rFonts w:ascii="Arial" w:hAnsi="Arial" w:cs="Arial"/>
          <w:sz w:val="22"/>
          <w:szCs w:val="22"/>
        </w:rPr>
        <w:t>met</w:t>
      </w:r>
      <w:r w:rsidR="00551967" w:rsidRPr="00B131F4">
        <w:rPr>
          <w:rFonts w:ascii="Arial" w:hAnsi="Arial" w:cs="Arial"/>
          <w:sz w:val="22"/>
          <w:szCs w:val="22"/>
        </w:rPr>
        <w:t xml:space="preserve">. </w:t>
      </w:r>
      <w:r w:rsidR="00A66D6A" w:rsidRPr="00B131F4">
        <w:rPr>
          <w:rFonts w:ascii="Arial" w:hAnsi="Arial" w:cs="Arial"/>
          <w:sz w:val="22"/>
          <w:szCs w:val="22"/>
        </w:rPr>
        <w:t>He submit</w:t>
      </w:r>
      <w:r w:rsidR="000F0E48">
        <w:rPr>
          <w:rFonts w:ascii="Arial" w:hAnsi="Arial" w:cs="Arial"/>
          <w:sz w:val="22"/>
          <w:szCs w:val="22"/>
        </w:rPr>
        <w:t>ted</w:t>
      </w:r>
      <w:r w:rsidR="00A66D6A" w:rsidRPr="00B131F4">
        <w:rPr>
          <w:rFonts w:ascii="Arial" w:hAnsi="Arial" w:cs="Arial"/>
          <w:sz w:val="22"/>
          <w:szCs w:val="22"/>
        </w:rPr>
        <w:t xml:space="preserve"> that the language of section 4(5) only permits the making of regulations and not for the provision of accommodation to be subject to conditions.</w:t>
      </w:r>
      <w:r w:rsidR="001863D3" w:rsidRPr="00B131F4">
        <w:rPr>
          <w:rFonts w:ascii="Arial" w:hAnsi="Arial" w:cs="Arial"/>
          <w:sz w:val="22"/>
          <w:szCs w:val="22"/>
        </w:rPr>
        <w:t xml:space="preserve"> </w:t>
      </w:r>
      <w:r w:rsidR="004F3417" w:rsidRPr="00B131F4">
        <w:rPr>
          <w:rFonts w:ascii="Arial" w:hAnsi="Arial" w:cs="Arial"/>
          <w:sz w:val="22"/>
          <w:szCs w:val="22"/>
        </w:rPr>
        <w:t xml:space="preserve">Otherwise, </w:t>
      </w:r>
      <w:r w:rsidR="001863D3" w:rsidRPr="00B131F4">
        <w:rPr>
          <w:rFonts w:ascii="Arial" w:hAnsi="Arial" w:cs="Arial"/>
          <w:sz w:val="22"/>
          <w:szCs w:val="22"/>
        </w:rPr>
        <w:t>says</w:t>
      </w:r>
      <w:r w:rsidR="00551967" w:rsidRPr="00B131F4">
        <w:rPr>
          <w:rFonts w:ascii="Arial" w:hAnsi="Arial" w:cs="Arial"/>
          <w:sz w:val="22"/>
          <w:szCs w:val="22"/>
        </w:rPr>
        <w:t xml:space="preserve"> Mr Cox, </w:t>
      </w:r>
      <w:r w:rsidR="005E1451" w:rsidRPr="00B131F4">
        <w:rPr>
          <w:rFonts w:ascii="Arial" w:hAnsi="Arial" w:cs="Arial"/>
          <w:sz w:val="22"/>
          <w:szCs w:val="22"/>
        </w:rPr>
        <w:t xml:space="preserve">the </w:t>
      </w:r>
      <w:r w:rsidR="00FE20CB" w:rsidRPr="00B131F4">
        <w:rPr>
          <w:rFonts w:ascii="Arial" w:hAnsi="Arial" w:cs="Arial"/>
          <w:sz w:val="22"/>
          <w:szCs w:val="22"/>
        </w:rPr>
        <w:t xml:space="preserve">SSHD </w:t>
      </w:r>
      <w:r w:rsidR="00A12B8E" w:rsidRPr="00B131F4">
        <w:rPr>
          <w:rFonts w:ascii="Arial" w:hAnsi="Arial" w:cs="Arial"/>
          <w:sz w:val="22"/>
          <w:szCs w:val="22"/>
        </w:rPr>
        <w:t xml:space="preserve">would </w:t>
      </w:r>
      <w:r w:rsidR="00FE20CB" w:rsidRPr="00B131F4">
        <w:rPr>
          <w:rFonts w:ascii="Arial" w:hAnsi="Arial" w:cs="Arial"/>
          <w:sz w:val="22"/>
          <w:szCs w:val="22"/>
        </w:rPr>
        <w:t>ha</w:t>
      </w:r>
      <w:r w:rsidR="00A12B8E" w:rsidRPr="00B131F4">
        <w:rPr>
          <w:rFonts w:ascii="Arial" w:hAnsi="Arial" w:cs="Arial"/>
          <w:sz w:val="22"/>
          <w:szCs w:val="22"/>
        </w:rPr>
        <w:t>ve</w:t>
      </w:r>
      <w:r w:rsidR="00FE20CB" w:rsidRPr="00B131F4">
        <w:rPr>
          <w:rFonts w:ascii="Arial" w:hAnsi="Arial" w:cs="Arial"/>
          <w:sz w:val="22"/>
          <w:szCs w:val="22"/>
        </w:rPr>
        <w:t xml:space="preserve"> no power</w:t>
      </w:r>
      <w:r w:rsidR="00AE756F" w:rsidRPr="00B131F4">
        <w:rPr>
          <w:rFonts w:ascii="Arial" w:hAnsi="Arial" w:cs="Arial"/>
          <w:sz w:val="22"/>
          <w:szCs w:val="22"/>
        </w:rPr>
        <w:t xml:space="preserve"> under section 4(2) to provide accommodation</w:t>
      </w:r>
      <w:r w:rsidR="00FE20CB" w:rsidRPr="00B131F4">
        <w:rPr>
          <w:rFonts w:ascii="Arial" w:hAnsi="Arial" w:cs="Arial"/>
          <w:sz w:val="22"/>
          <w:szCs w:val="22"/>
        </w:rPr>
        <w:t>, regardless of</w:t>
      </w:r>
      <w:r w:rsidR="00FE20CB" w:rsidRPr="00B131F4">
        <w:rPr>
          <w:rFonts w:ascii="Arial" w:hAnsi="Arial" w:cs="Arial"/>
        </w:rPr>
        <w:t xml:space="preserve"> </w:t>
      </w:r>
      <w:r w:rsidR="00FE20CB" w:rsidRPr="00B131F4">
        <w:rPr>
          <w:rFonts w:ascii="Arial" w:hAnsi="Arial" w:cs="Arial"/>
          <w:sz w:val="22"/>
          <w:szCs w:val="22"/>
        </w:rPr>
        <w:t xml:space="preserve">the public health need to </w:t>
      </w:r>
      <w:r w:rsidR="00955745" w:rsidRPr="00B131F4">
        <w:rPr>
          <w:rFonts w:ascii="Arial" w:hAnsi="Arial" w:cs="Arial"/>
          <w:sz w:val="22"/>
          <w:szCs w:val="22"/>
        </w:rPr>
        <w:t>do so</w:t>
      </w:r>
      <w:r w:rsidR="00FE20CB" w:rsidRPr="00B131F4">
        <w:rPr>
          <w:rFonts w:ascii="Arial" w:hAnsi="Arial" w:cs="Arial"/>
          <w:sz w:val="22"/>
          <w:szCs w:val="22"/>
        </w:rPr>
        <w:t>, unless th</w:t>
      </w:r>
      <w:r w:rsidR="006A505B" w:rsidRPr="00B131F4">
        <w:rPr>
          <w:rFonts w:ascii="Arial" w:hAnsi="Arial" w:cs="Arial"/>
          <w:sz w:val="22"/>
          <w:szCs w:val="22"/>
        </w:rPr>
        <w:t>e</w:t>
      </w:r>
      <w:r w:rsidR="00FE20CB" w:rsidRPr="00B131F4">
        <w:rPr>
          <w:rFonts w:ascii="Arial" w:hAnsi="Arial" w:cs="Arial"/>
          <w:sz w:val="22"/>
          <w:szCs w:val="22"/>
        </w:rPr>
        <w:t xml:space="preserve"> public health need</w:t>
      </w:r>
      <w:r w:rsidR="00A56863" w:rsidRPr="00B131F4">
        <w:rPr>
          <w:rFonts w:ascii="Arial" w:hAnsi="Arial" w:cs="Arial"/>
          <w:sz w:val="22"/>
          <w:szCs w:val="22"/>
        </w:rPr>
        <w:t>s</w:t>
      </w:r>
      <w:r w:rsidR="00FE20CB" w:rsidRPr="00B131F4">
        <w:rPr>
          <w:rFonts w:ascii="Arial" w:hAnsi="Arial" w:cs="Arial"/>
          <w:sz w:val="22"/>
          <w:szCs w:val="22"/>
        </w:rPr>
        <w:t xml:space="preserve"> were such that a denial of accommodation would breach </w:t>
      </w:r>
      <w:r w:rsidR="00FF055B" w:rsidRPr="00B131F4">
        <w:rPr>
          <w:rFonts w:ascii="Arial" w:hAnsi="Arial" w:cs="Arial"/>
          <w:sz w:val="22"/>
          <w:szCs w:val="22"/>
        </w:rPr>
        <w:t xml:space="preserve">the person(s) </w:t>
      </w:r>
      <w:r w:rsidR="00FE20CB" w:rsidRPr="00B131F4">
        <w:rPr>
          <w:rFonts w:ascii="Arial" w:hAnsi="Arial" w:cs="Arial"/>
          <w:sz w:val="22"/>
          <w:szCs w:val="22"/>
        </w:rPr>
        <w:t xml:space="preserve">human rights. </w:t>
      </w:r>
    </w:p>
    <w:p w14:paraId="4DF6B6F0" w14:textId="77777777" w:rsidR="006868FB" w:rsidRPr="00A4399B" w:rsidRDefault="006868FB" w:rsidP="00440E62">
      <w:pPr>
        <w:pStyle w:val="ListParagraph"/>
        <w:autoSpaceDE w:val="0"/>
        <w:autoSpaceDN w:val="0"/>
        <w:adjustRightInd w:val="0"/>
        <w:ind w:left="0"/>
        <w:jc w:val="both"/>
        <w:rPr>
          <w:rFonts w:ascii="Arial" w:hAnsi="Arial" w:cs="Arial"/>
          <w:sz w:val="22"/>
          <w:szCs w:val="22"/>
        </w:rPr>
      </w:pPr>
    </w:p>
    <w:p w14:paraId="11B07C23" w14:textId="235A7E1B" w:rsidR="00A7241F" w:rsidRPr="00B131F4" w:rsidRDefault="00B131F4" w:rsidP="00B131F4">
      <w:pPr>
        <w:tabs>
          <w:tab w:val="num" w:pos="142"/>
          <w:tab w:val="left" w:pos="567"/>
        </w:tabs>
        <w:autoSpaceDE w:val="0"/>
        <w:autoSpaceDN w:val="0"/>
        <w:adjustRightInd w:val="0"/>
        <w:jc w:val="both"/>
        <w:rPr>
          <w:rFonts w:ascii="Arial" w:hAnsi="Arial" w:cs="Arial"/>
          <w:b/>
          <w:bCs/>
          <w:sz w:val="22"/>
          <w:szCs w:val="22"/>
        </w:rPr>
      </w:pPr>
      <w:r>
        <w:rPr>
          <w:rFonts w:ascii="Arial" w:hAnsi="Arial" w:cs="Arial"/>
          <w:sz w:val="22"/>
          <w:szCs w:val="22"/>
        </w:rPr>
        <w:t>4</w:t>
      </w:r>
      <w:r w:rsidR="00F2301A">
        <w:rPr>
          <w:rFonts w:ascii="Arial" w:hAnsi="Arial" w:cs="Arial"/>
          <w:sz w:val="22"/>
          <w:szCs w:val="22"/>
        </w:rPr>
        <w:t>9</w:t>
      </w:r>
      <w:r>
        <w:rPr>
          <w:rFonts w:ascii="Arial" w:hAnsi="Arial" w:cs="Arial"/>
          <w:sz w:val="22"/>
          <w:szCs w:val="22"/>
        </w:rPr>
        <w:t>.</w:t>
      </w:r>
      <w:r>
        <w:rPr>
          <w:rFonts w:ascii="Arial" w:hAnsi="Arial" w:cs="Arial"/>
          <w:sz w:val="22"/>
          <w:szCs w:val="22"/>
        </w:rPr>
        <w:tab/>
      </w:r>
      <w:r w:rsidR="00BA3DF3" w:rsidRPr="00B131F4">
        <w:rPr>
          <w:rFonts w:ascii="Arial" w:hAnsi="Arial" w:cs="Arial"/>
          <w:sz w:val="22"/>
          <w:szCs w:val="22"/>
        </w:rPr>
        <w:t>Ms Idelbi disagree</w:t>
      </w:r>
      <w:r w:rsidR="0031202C" w:rsidRPr="00B131F4">
        <w:rPr>
          <w:rFonts w:ascii="Arial" w:hAnsi="Arial" w:cs="Arial"/>
          <w:sz w:val="22"/>
          <w:szCs w:val="22"/>
        </w:rPr>
        <w:t>d</w:t>
      </w:r>
      <w:r w:rsidR="00533F25" w:rsidRPr="00B131F4">
        <w:rPr>
          <w:rFonts w:ascii="Arial" w:hAnsi="Arial" w:cs="Arial"/>
          <w:sz w:val="22"/>
          <w:szCs w:val="22"/>
        </w:rPr>
        <w:t xml:space="preserve"> with that analysis. </w:t>
      </w:r>
      <w:r w:rsidR="00E727EA" w:rsidRPr="00B131F4">
        <w:rPr>
          <w:rFonts w:ascii="Arial" w:hAnsi="Arial" w:cs="Arial"/>
          <w:sz w:val="22"/>
          <w:szCs w:val="22"/>
        </w:rPr>
        <w:t xml:space="preserve">She </w:t>
      </w:r>
      <w:r w:rsidR="00A7241F" w:rsidRPr="00B131F4">
        <w:rPr>
          <w:rFonts w:ascii="Arial" w:hAnsi="Arial" w:cs="Arial"/>
          <w:sz w:val="22"/>
          <w:szCs w:val="22"/>
        </w:rPr>
        <w:t>submit</w:t>
      </w:r>
      <w:r w:rsidR="0031202C" w:rsidRPr="00B131F4">
        <w:rPr>
          <w:rFonts w:ascii="Arial" w:hAnsi="Arial" w:cs="Arial"/>
          <w:sz w:val="22"/>
          <w:szCs w:val="22"/>
        </w:rPr>
        <w:t>ted</w:t>
      </w:r>
      <w:r w:rsidR="00A7241F" w:rsidRPr="00B131F4">
        <w:rPr>
          <w:rFonts w:ascii="Arial" w:hAnsi="Arial" w:cs="Arial"/>
          <w:sz w:val="22"/>
          <w:szCs w:val="22"/>
        </w:rPr>
        <w:t xml:space="preserve"> that there is no power to provide section 4 support and accommodation to those who do not meet the eligibility criteria contained in regulation 3</w:t>
      </w:r>
      <w:r w:rsidR="001540F1" w:rsidRPr="00B131F4">
        <w:rPr>
          <w:rFonts w:ascii="Arial" w:hAnsi="Arial" w:cs="Arial"/>
          <w:sz w:val="22"/>
          <w:szCs w:val="22"/>
        </w:rPr>
        <w:t>.</w:t>
      </w:r>
      <w:r w:rsidR="007D7B09" w:rsidRPr="00B131F4">
        <w:rPr>
          <w:rFonts w:ascii="Arial" w:hAnsi="Arial" w:cs="Arial"/>
          <w:sz w:val="22"/>
          <w:szCs w:val="22"/>
        </w:rPr>
        <w:t xml:space="preserve"> If Mr Cox’s analysis</w:t>
      </w:r>
      <w:r w:rsidR="006401BE" w:rsidRPr="00B131F4">
        <w:rPr>
          <w:rFonts w:ascii="Arial" w:hAnsi="Arial" w:cs="Arial"/>
          <w:sz w:val="22"/>
          <w:szCs w:val="22"/>
        </w:rPr>
        <w:t xml:space="preserve"> is </w:t>
      </w:r>
      <w:r w:rsidR="001540F1" w:rsidRPr="00B131F4">
        <w:rPr>
          <w:rFonts w:ascii="Arial" w:hAnsi="Arial" w:cs="Arial"/>
          <w:sz w:val="22"/>
          <w:szCs w:val="22"/>
        </w:rPr>
        <w:t>correct, says Ms Idelbi</w:t>
      </w:r>
      <w:r w:rsidR="002A2604" w:rsidRPr="00B131F4">
        <w:rPr>
          <w:rFonts w:ascii="Arial" w:hAnsi="Arial" w:cs="Arial"/>
          <w:sz w:val="22"/>
          <w:szCs w:val="22"/>
        </w:rPr>
        <w:t>,</w:t>
      </w:r>
      <w:r w:rsidR="001426B8" w:rsidRPr="00B131F4">
        <w:rPr>
          <w:rFonts w:ascii="Arial" w:hAnsi="Arial" w:cs="Arial"/>
          <w:sz w:val="22"/>
          <w:szCs w:val="22"/>
        </w:rPr>
        <w:t xml:space="preserve"> </w:t>
      </w:r>
      <w:r w:rsidR="006401BE" w:rsidRPr="00B131F4">
        <w:rPr>
          <w:rFonts w:ascii="Arial" w:hAnsi="Arial" w:cs="Arial"/>
          <w:sz w:val="22"/>
          <w:szCs w:val="22"/>
        </w:rPr>
        <w:t xml:space="preserve">this would have the result that an applicant also need not be destitute in order to qualify for support. </w:t>
      </w:r>
      <w:r w:rsidR="00B94B99" w:rsidRPr="00B131F4">
        <w:rPr>
          <w:rFonts w:ascii="Arial" w:hAnsi="Arial" w:cs="Arial"/>
          <w:sz w:val="22"/>
          <w:szCs w:val="22"/>
        </w:rPr>
        <w:t xml:space="preserve">She </w:t>
      </w:r>
      <w:r w:rsidR="008E6EA1" w:rsidRPr="00B131F4">
        <w:rPr>
          <w:rFonts w:ascii="Arial" w:hAnsi="Arial" w:cs="Arial"/>
          <w:sz w:val="22"/>
          <w:szCs w:val="22"/>
        </w:rPr>
        <w:t>observed</w:t>
      </w:r>
      <w:r w:rsidR="00E8299A" w:rsidRPr="00B131F4">
        <w:rPr>
          <w:rFonts w:ascii="Arial" w:hAnsi="Arial" w:cs="Arial"/>
          <w:sz w:val="22"/>
          <w:szCs w:val="22"/>
        </w:rPr>
        <w:t xml:space="preserve"> that</w:t>
      </w:r>
      <w:r w:rsidR="00A068E4" w:rsidRPr="00B131F4">
        <w:rPr>
          <w:rFonts w:ascii="Arial" w:hAnsi="Arial" w:cs="Arial"/>
          <w:sz w:val="22"/>
          <w:szCs w:val="22"/>
        </w:rPr>
        <w:t xml:space="preserve"> Mr Cox</w:t>
      </w:r>
      <w:r w:rsidR="00732494" w:rsidRPr="00B131F4">
        <w:rPr>
          <w:rFonts w:ascii="Arial" w:hAnsi="Arial" w:cs="Arial"/>
          <w:sz w:val="22"/>
          <w:szCs w:val="22"/>
        </w:rPr>
        <w:t xml:space="preserve"> has </w:t>
      </w:r>
      <w:r w:rsidR="00A7241F" w:rsidRPr="00B131F4">
        <w:rPr>
          <w:rFonts w:ascii="Arial" w:hAnsi="Arial" w:cs="Arial"/>
          <w:sz w:val="22"/>
          <w:szCs w:val="22"/>
        </w:rPr>
        <w:t>provide</w:t>
      </w:r>
      <w:r w:rsidR="00B94B99" w:rsidRPr="00B131F4">
        <w:rPr>
          <w:rFonts w:ascii="Arial" w:hAnsi="Arial" w:cs="Arial"/>
          <w:sz w:val="22"/>
          <w:szCs w:val="22"/>
        </w:rPr>
        <w:t>d</w:t>
      </w:r>
      <w:r w:rsidR="00A7241F" w:rsidRPr="00B131F4">
        <w:rPr>
          <w:rFonts w:ascii="Arial" w:hAnsi="Arial" w:cs="Arial"/>
          <w:sz w:val="22"/>
          <w:szCs w:val="22"/>
        </w:rPr>
        <w:t xml:space="preserve"> no authority to support his analysis of section 4(2) and section 4(5)</w:t>
      </w:r>
      <w:r w:rsidR="00732494" w:rsidRPr="00B131F4">
        <w:rPr>
          <w:rFonts w:ascii="Arial" w:hAnsi="Arial" w:cs="Arial"/>
          <w:sz w:val="22"/>
          <w:szCs w:val="22"/>
        </w:rPr>
        <w:t xml:space="preserve"> and has </w:t>
      </w:r>
      <w:r w:rsidR="00A7241F" w:rsidRPr="00B131F4">
        <w:rPr>
          <w:rFonts w:ascii="Arial" w:hAnsi="Arial" w:cs="Arial"/>
          <w:sz w:val="22"/>
          <w:szCs w:val="22"/>
        </w:rPr>
        <w:t>ignore</w:t>
      </w:r>
      <w:r w:rsidR="00853EF6" w:rsidRPr="00B131F4">
        <w:rPr>
          <w:rFonts w:ascii="Arial" w:hAnsi="Arial" w:cs="Arial"/>
          <w:sz w:val="22"/>
          <w:szCs w:val="22"/>
        </w:rPr>
        <w:t>d</w:t>
      </w:r>
      <w:r w:rsidR="00A7241F" w:rsidRPr="00B131F4">
        <w:rPr>
          <w:rFonts w:ascii="Arial" w:hAnsi="Arial" w:cs="Arial"/>
          <w:sz w:val="22"/>
          <w:szCs w:val="22"/>
        </w:rPr>
        <w:t xml:space="preserve"> the plain English interpretation of “criteria”</w:t>
      </w:r>
      <w:r w:rsidR="005013B4" w:rsidRPr="00B131F4">
        <w:rPr>
          <w:rFonts w:ascii="Arial" w:hAnsi="Arial" w:cs="Arial"/>
          <w:sz w:val="22"/>
          <w:szCs w:val="22"/>
        </w:rPr>
        <w:t xml:space="preserve"> which is </w:t>
      </w:r>
      <w:r w:rsidR="00A7241F" w:rsidRPr="00B131F4">
        <w:rPr>
          <w:rFonts w:ascii="Arial" w:hAnsi="Arial" w:cs="Arial"/>
          <w:sz w:val="22"/>
          <w:szCs w:val="22"/>
        </w:rPr>
        <w:t xml:space="preserve">not of principles or indicators but standards by which you judge, decide about, or deal with something. They are requirements </w:t>
      </w:r>
      <w:r w:rsidR="002731A1" w:rsidRPr="00B131F4">
        <w:rPr>
          <w:rFonts w:ascii="Arial" w:hAnsi="Arial" w:cs="Arial"/>
          <w:sz w:val="22"/>
          <w:szCs w:val="22"/>
        </w:rPr>
        <w:t xml:space="preserve">the SSHD </w:t>
      </w:r>
      <w:r w:rsidR="00A7241F" w:rsidRPr="00B131F4">
        <w:rPr>
          <w:rFonts w:ascii="Arial" w:hAnsi="Arial" w:cs="Arial"/>
          <w:sz w:val="22"/>
          <w:szCs w:val="22"/>
        </w:rPr>
        <w:t>is to consider when deciding “whether or not to provide accommodation” (section 4(5)(a))</w:t>
      </w:r>
      <w:r w:rsidR="001F023D" w:rsidRPr="00B131F4">
        <w:rPr>
          <w:rFonts w:ascii="Arial" w:hAnsi="Arial" w:cs="Arial"/>
          <w:sz w:val="22"/>
          <w:szCs w:val="22"/>
        </w:rPr>
        <w:t>.</w:t>
      </w:r>
      <w:r w:rsidR="00A7241F" w:rsidRPr="00B131F4">
        <w:rPr>
          <w:rFonts w:ascii="Arial" w:hAnsi="Arial" w:cs="Arial"/>
          <w:sz w:val="22"/>
          <w:szCs w:val="22"/>
        </w:rPr>
        <w:t xml:space="preserve"> </w:t>
      </w:r>
    </w:p>
    <w:p w14:paraId="0E288879" w14:textId="77777777" w:rsidR="003B1274" w:rsidRPr="00A4399B" w:rsidRDefault="003B1274" w:rsidP="003B1274">
      <w:pPr>
        <w:pStyle w:val="ListParagraph"/>
        <w:tabs>
          <w:tab w:val="left" w:pos="567"/>
        </w:tabs>
        <w:autoSpaceDE w:val="0"/>
        <w:autoSpaceDN w:val="0"/>
        <w:adjustRightInd w:val="0"/>
        <w:ind w:left="0"/>
        <w:jc w:val="both"/>
        <w:rPr>
          <w:rFonts w:ascii="Arial" w:hAnsi="Arial" w:cs="Arial"/>
          <w:b/>
          <w:bCs/>
          <w:sz w:val="22"/>
          <w:szCs w:val="22"/>
        </w:rPr>
      </w:pPr>
    </w:p>
    <w:p w14:paraId="381310E3" w14:textId="5F933EBF" w:rsidR="00F66F56" w:rsidRPr="00B131F4" w:rsidRDefault="00451F18" w:rsidP="00451F18">
      <w:pPr>
        <w:tabs>
          <w:tab w:val="left" w:pos="560"/>
        </w:tabs>
        <w:autoSpaceDE w:val="0"/>
        <w:autoSpaceDN w:val="0"/>
        <w:adjustRightInd w:val="0"/>
        <w:jc w:val="both"/>
        <w:rPr>
          <w:rFonts w:ascii="Arial" w:hAnsi="Arial" w:cs="Arial"/>
          <w:b/>
          <w:sz w:val="22"/>
          <w:szCs w:val="22"/>
        </w:rPr>
      </w:pPr>
      <w:r>
        <w:rPr>
          <w:rFonts w:ascii="Arial" w:hAnsi="Arial" w:cs="Arial"/>
          <w:sz w:val="22"/>
          <w:szCs w:val="22"/>
        </w:rPr>
        <w:t>50</w:t>
      </w:r>
      <w:r w:rsidR="002F0E68">
        <w:rPr>
          <w:rFonts w:ascii="Arial" w:hAnsi="Arial" w:cs="Arial"/>
          <w:sz w:val="22"/>
          <w:szCs w:val="22"/>
        </w:rPr>
        <w:t>.</w:t>
      </w:r>
      <w:r w:rsidR="002F0E68">
        <w:rPr>
          <w:rFonts w:ascii="Arial" w:hAnsi="Arial" w:cs="Arial"/>
          <w:sz w:val="22"/>
          <w:szCs w:val="22"/>
        </w:rPr>
        <w:tab/>
      </w:r>
      <w:r w:rsidR="00AE7A0C" w:rsidRPr="00B131F4">
        <w:rPr>
          <w:rFonts w:ascii="Arial" w:hAnsi="Arial" w:cs="Arial"/>
          <w:sz w:val="22"/>
          <w:szCs w:val="22"/>
        </w:rPr>
        <w:t xml:space="preserve">I do not </w:t>
      </w:r>
      <w:r w:rsidR="00230BEA">
        <w:rPr>
          <w:rFonts w:ascii="Arial" w:hAnsi="Arial" w:cs="Arial"/>
          <w:sz w:val="22"/>
          <w:szCs w:val="22"/>
        </w:rPr>
        <w:t>agree</w:t>
      </w:r>
      <w:r w:rsidR="00E413B1">
        <w:rPr>
          <w:rFonts w:ascii="Arial" w:hAnsi="Arial" w:cs="Arial"/>
          <w:sz w:val="22"/>
          <w:szCs w:val="22"/>
        </w:rPr>
        <w:t xml:space="preserve"> with</w:t>
      </w:r>
      <w:r w:rsidR="00AE7A0C" w:rsidRPr="00B131F4">
        <w:rPr>
          <w:rFonts w:ascii="Arial" w:hAnsi="Arial" w:cs="Arial"/>
          <w:sz w:val="22"/>
          <w:szCs w:val="22"/>
        </w:rPr>
        <w:t xml:space="preserve"> Mr Cox that </w:t>
      </w:r>
      <w:r w:rsidR="00AB36A9" w:rsidRPr="00B131F4">
        <w:rPr>
          <w:rFonts w:ascii="Arial" w:hAnsi="Arial" w:cs="Arial"/>
          <w:sz w:val="22"/>
          <w:szCs w:val="22"/>
        </w:rPr>
        <w:t xml:space="preserve">the SSHD’s power under </w:t>
      </w:r>
      <w:bookmarkStart w:id="17" w:name="_Hlk70591390"/>
      <w:r w:rsidR="00AE7A0C" w:rsidRPr="00B131F4">
        <w:rPr>
          <w:rFonts w:ascii="Arial" w:hAnsi="Arial" w:cs="Arial"/>
          <w:sz w:val="22"/>
          <w:szCs w:val="22"/>
        </w:rPr>
        <w:t xml:space="preserve">section 4(2) </w:t>
      </w:r>
      <w:bookmarkEnd w:id="17"/>
      <w:r w:rsidR="00AE7A0C" w:rsidRPr="00B131F4">
        <w:rPr>
          <w:rFonts w:ascii="Arial" w:hAnsi="Arial" w:cs="Arial"/>
          <w:sz w:val="22"/>
          <w:szCs w:val="22"/>
        </w:rPr>
        <w:t xml:space="preserve">to provide accommodation </w:t>
      </w:r>
      <w:r w:rsidR="002E7B6F" w:rsidRPr="00B131F4">
        <w:rPr>
          <w:rFonts w:ascii="Arial" w:hAnsi="Arial" w:cs="Arial"/>
          <w:sz w:val="22"/>
          <w:szCs w:val="22"/>
        </w:rPr>
        <w:t xml:space="preserve">can be exercised </w:t>
      </w:r>
      <w:r w:rsidR="001D5EF7" w:rsidRPr="00B131F4">
        <w:rPr>
          <w:rFonts w:ascii="Arial" w:hAnsi="Arial" w:cs="Arial"/>
          <w:sz w:val="22"/>
          <w:szCs w:val="22"/>
        </w:rPr>
        <w:t>without regard to the 2005 Regulations</w:t>
      </w:r>
      <w:r w:rsidR="00EE180B" w:rsidRPr="00B131F4">
        <w:rPr>
          <w:rFonts w:ascii="Arial" w:hAnsi="Arial" w:cs="Arial"/>
          <w:sz w:val="22"/>
          <w:szCs w:val="22"/>
        </w:rPr>
        <w:t xml:space="preserve">. </w:t>
      </w:r>
      <w:r w:rsidR="005A4A02" w:rsidRPr="00B131F4">
        <w:rPr>
          <w:rFonts w:ascii="Arial" w:hAnsi="Arial" w:cs="Arial"/>
          <w:sz w:val="22"/>
          <w:szCs w:val="22"/>
        </w:rPr>
        <w:t>If that were true</w:t>
      </w:r>
      <w:r w:rsidR="00F9367F" w:rsidRPr="00B131F4">
        <w:rPr>
          <w:rFonts w:ascii="Arial" w:hAnsi="Arial" w:cs="Arial"/>
          <w:sz w:val="22"/>
          <w:szCs w:val="22"/>
        </w:rPr>
        <w:t xml:space="preserve">, failed asylum seekers could continue to </w:t>
      </w:r>
      <w:r w:rsidR="00101346" w:rsidRPr="00B131F4">
        <w:rPr>
          <w:rFonts w:ascii="Arial" w:hAnsi="Arial" w:cs="Arial"/>
          <w:sz w:val="22"/>
          <w:szCs w:val="22"/>
        </w:rPr>
        <w:t xml:space="preserve">claim </w:t>
      </w:r>
      <w:r w:rsidR="00E96B56" w:rsidRPr="00B131F4">
        <w:rPr>
          <w:rFonts w:ascii="Arial" w:hAnsi="Arial" w:cs="Arial"/>
          <w:sz w:val="22"/>
          <w:szCs w:val="22"/>
        </w:rPr>
        <w:t>entitlement to be supported</w:t>
      </w:r>
      <w:r w:rsidR="00101346" w:rsidRPr="00B131F4">
        <w:rPr>
          <w:rFonts w:ascii="Arial" w:hAnsi="Arial" w:cs="Arial"/>
          <w:sz w:val="22"/>
          <w:szCs w:val="22"/>
        </w:rPr>
        <w:t xml:space="preserve"> even after they </w:t>
      </w:r>
      <w:r w:rsidR="00181059" w:rsidRPr="00B131F4">
        <w:rPr>
          <w:rFonts w:ascii="Arial" w:hAnsi="Arial" w:cs="Arial"/>
          <w:sz w:val="22"/>
          <w:szCs w:val="22"/>
        </w:rPr>
        <w:t>became</w:t>
      </w:r>
      <w:r w:rsidR="00101346" w:rsidRPr="00B131F4">
        <w:rPr>
          <w:rFonts w:ascii="Arial" w:hAnsi="Arial" w:cs="Arial"/>
          <w:sz w:val="22"/>
          <w:szCs w:val="22"/>
        </w:rPr>
        <w:t xml:space="preserve"> appeal rights exhausted </w:t>
      </w:r>
      <w:r w:rsidR="00D416DE" w:rsidRPr="00B131F4">
        <w:rPr>
          <w:rFonts w:ascii="Arial" w:hAnsi="Arial" w:cs="Arial"/>
          <w:sz w:val="22"/>
          <w:szCs w:val="22"/>
        </w:rPr>
        <w:t>and would not need to demonstrate</w:t>
      </w:r>
      <w:r w:rsidR="003F07CB" w:rsidRPr="00B131F4">
        <w:rPr>
          <w:rFonts w:ascii="Arial" w:hAnsi="Arial" w:cs="Arial"/>
          <w:sz w:val="22"/>
          <w:szCs w:val="22"/>
        </w:rPr>
        <w:t xml:space="preserve"> why they were unable to return to their countr</w:t>
      </w:r>
      <w:r w:rsidR="00534014" w:rsidRPr="00B131F4">
        <w:rPr>
          <w:rFonts w:ascii="Arial" w:hAnsi="Arial" w:cs="Arial"/>
          <w:sz w:val="22"/>
          <w:szCs w:val="22"/>
        </w:rPr>
        <w:t>y</w:t>
      </w:r>
      <w:r w:rsidR="00E413B1">
        <w:rPr>
          <w:rFonts w:ascii="Arial" w:hAnsi="Arial" w:cs="Arial"/>
          <w:sz w:val="22"/>
          <w:szCs w:val="22"/>
        </w:rPr>
        <w:t xml:space="preserve"> of origin</w:t>
      </w:r>
      <w:r w:rsidR="00534014" w:rsidRPr="00B131F4">
        <w:rPr>
          <w:rFonts w:ascii="Arial" w:hAnsi="Arial" w:cs="Arial"/>
          <w:sz w:val="22"/>
          <w:szCs w:val="22"/>
        </w:rPr>
        <w:t xml:space="preserve">. </w:t>
      </w:r>
      <w:r w:rsidR="00F758E0" w:rsidRPr="00B131F4">
        <w:rPr>
          <w:rFonts w:ascii="Arial" w:hAnsi="Arial" w:cs="Arial"/>
          <w:sz w:val="22"/>
          <w:szCs w:val="22"/>
        </w:rPr>
        <w:t>Without regulations and conditions, the SSHD would</w:t>
      </w:r>
      <w:r w:rsidR="009563CA" w:rsidRPr="00B131F4">
        <w:rPr>
          <w:rFonts w:ascii="Arial" w:hAnsi="Arial" w:cs="Arial"/>
          <w:sz w:val="22"/>
          <w:szCs w:val="22"/>
        </w:rPr>
        <w:t xml:space="preserve"> have no basis to refuse </w:t>
      </w:r>
      <w:r w:rsidR="00C0633E" w:rsidRPr="00B131F4">
        <w:rPr>
          <w:rFonts w:ascii="Arial" w:hAnsi="Arial" w:cs="Arial"/>
          <w:sz w:val="22"/>
          <w:szCs w:val="22"/>
        </w:rPr>
        <w:t>such a</w:t>
      </w:r>
      <w:r w:rsidR="009563CA" w:rsidRPr="00B131F4">
        <w:rPr>
          <w:rFonts w:ascii="Arial" w:hAnsi="Arial" w:cs="Arial"/>
          <w:sz w:val="22"/>
          <w:szCs w:val="22"/>
        </w:rPr>
        <w:t>pplication</w:t>
      </w:r>
      <w:r w:rsidR="00CC285A" w:rsidRPr="00B131F4">
        <w:rPr>
          <w:rFonts w:ascii="Arial" w:hAnsi="Arial" w:cs="Arial"/>
          <w:sz w:val="22"/>
          <w:szCs w:val="22"/>
        </w:rPr>
        <w:t>s</w:t>
      </w:r>
      <w:r w:rsidR="00C0633E" w:rsidRPr="00B131F4">
        <w:rPr>
          <w:rFonts w:ascii="Arial" w:hAnsi="Arial" w:cs="Arial"/>
          <w:sz w:val="22"/>
          <w:szCs w:val="22"/>
        </w:rPr>
        <w:t xml:space="preserve"> in law</w:t>
      </w:r>
      <w:r w:rsidR="009563CA" w:rsidRPr="00B131F4">
        <w:rPr>
          <w:rFonts w:ascii="Arial" w:hAnsi="Arial" w:cs="Arial"/>
          <w:sz w:val="22"/>
          <w:szCs w:val="22"/>
        </w:rPr>
        <w:t xml:space="preserve">. </w:t>
      </w:r>
      <w:r w:rsidR="00CC46E6" w:rsidRPr="00B131F4">
        <w:rPr>
          <w:rFonts w:ascii="Arial" w:hAnsi="Arial" w:cs="Arial"/>
          <w:sz w:val="22"/>
          <w:szCs w:val="22"/>
        </w:rPr>
        <w:t xml:space="preserve">I </w:t>
      </w:r>
      <w:r w:rsidR="0037194A" w:rsidRPr="00B131F4">
        <w:rPr>
          <w:rFonts w:ascii="Arial" w:hAnsi="Arial" w:cs="Arial"/>
          <w:sz w:val="22"/>
          <w:szCs w:val="22"/>
        </w:rPr>
        <w:t xml:space="preserve">am satisfied </w:t>
      </w:r>
      <w:r w:rsidR="00CC46E6" w:rsidRPr="00B131F4">
        <w:rPr>
          <w:rFonts w:ascii="Arial" w:hAnsi="Arial" w:cs="Arial"/>
          <w:sz w:val="22"/>
          <w:szCs w:val="22"/>
        </w:rPr>
        <w:t>that t</w:t>
      </w:r>
      <w:r w:rsidR="007A1560" w:rsidRPr="00B131F4">
        <w:rPr>
          <w:rFonts w:ascii="Arial" w:hAnsi="Arial" w:cs="Arial"/>
          <w:sz w:val="22"/>
          <w:szCs w:val="22"/>
        </w:rPr>
        <w:t xml:space="preserve">he </w:t>
      </w:r>
      <w:r w:rsidR="007D2C32" w:rsidRPr="00B131F4">
        <w:rPr>
          <w:rFonts w:ascii="Arial" w:hAnsi="Arial" w:cs="Arial"/>
          <w:sz w:val="22"/>
          <w:szCs w:val="22"/>
        </w:rPr>
        <w:t xml:space="preserve">SSHD </w:t>
      </w:r>
      <w:r w:rsidR="009D57CE" w:rsidRPr="00B131F4">
        <w:rPr>
          <w:rFonts w:ascii="Arial" w:hAnsi="Arial" w:cs="Arial"/>
          <w:sz w:val="22"/>
          <w:szCs w:val="22"/>
        </w:rPr>
        <w:t xml:space="preserve">has made </w:t>
      </w:r>
      <w:r w:rsidR="00BC6564" w:rsidRPr="00B131F4">
        <w:rPr>
          <w:rFonts w:ascii="Arial" w:hAnsi="Arial" w:cs="Arial"/>
          <w:sz w:val="22"/>
          <w:szCs w:val="22"/>
        </w:rPr>
        <w:t xml:space="preserve">the 2005 </w:t>
      </w:r>
      <w:r w:rsidR="009D57CE" w:rsidRPr="00B131F4">
        <w:rPr>
          <w:rFonts w:ascii="Arial" w:hAnsi="Arial" w:cs="Arial"/>
          <w:sz w:val="22"/>
          <w:szCs w:val="22"/>
        </w:rPr>
        <w:t xml:space="preserve">regulations pursuant to section 4(5) and has made the exercise of </w:t>
      </w:r>
      <w:r w:rsidR="002B562D" w:rsidRPr="00B131F4">
        <w:rPr>
          <w:rFonts w:ascii="Arial" w:hAnsi="Arial" w:cs="Arial"/>
          <w:sz w:val="22"/>
          <w:szCs w:val="22"/>
        </w:rPr>
        <w:t>her section 4(2) po</w:t>
      </w:r>
      <w:r w:rsidR="00DC7E0B" w:rsidRPr="00B131F4">
        <w:rPr>
          <w:rFonts w:ascii="Arial" w:hAnsi="Arial" w:cs="Arial"/>
          <w:sz w:val="22"/>
          <w:szCs w:val="22"/>
        </w:rPr>
        <w:t>w</w:t>
      </w:r>
      <w:r w:rsidR="002B562D" w:rsidRPr="00B131F4">
        <w:rPr>
          <w:rFonts w:ascii="Arial" w:hAnsi="Arial" w:cs="Arial"/>
          <w:sz w:val="22"/>
          <w:szCs w:val="22"/>
        </w:rPr>
        <w:t xml:space="preserve">er subject to </w:t>
      </w:r>
      <w:r w:rsidR="00444DC1" w:rsidRPr="00B131F4">
        <w:rPr>
          <w:rFonts w:ascii="Arial" w:hAnsi="Arial" w:cs="Arial"/>
          <w:sz w:val="22"/>
          <w:szCs w:val="22"/>
        </w:rPr>
        <w:t xml:space="preserve">the </w:t>
      </w:r>
      <w:r w:rsidR="002B562D" w:rsidRPr="00B131F4">
        <w:rPr>
          <w:rFonts w:ascii="Arial" w:hAnsi="Arial" w:cs="Arial"/>
          <w:sz w:val="22"/>
          <w:szCs w:val="22"/>
        </w:rPr>
        <w:t>conditions</w:t>
      </w:r>
      <w:r w:rsidR="00444DC1" w:rsidRPr="00B131F4">
        <w:rPr>
          <w:rFonts w:ascii="Arial" w:hAnsi="Arial" w:cs="Arial"/>
          <w:sz w:val="22"/>
          <w:szCs w:val="22"/>
        </w:rPr>
        <w:t xml:space="preserve"> in regulation 3(2)</w:t>
      </w:r>
      <w:r w:rsidR="0037194A" w:rsidRPr="00B131F4">
        <w:rPr>
          <w:rFonts w:ascii="Arial" w:hAnsi="Arial" w:cs="Arial"/>
          <w:sz w:val="22"/>
          <w:szCs w:val="22"/>
        </w:rPr>
        <w:t>,</w:t>
      </w:r>
      <w:r w:rsidR="002B562D" w:rsidRPr="00B131F4">
        <w:rPr>
          <w:rFonts w:ascii="Arial" w:hAnsi="Arial" w:cs="Arial"/>
          <w:sz w:val="22"/>
          <w:szCs w:val="22"/>
        </w:rPr>
        <w:t xml:space="preserve"> as </w:t>
      </w:r>
      <w:r w:rsidR="00565E32">
        <w:rPr>
          <w:rFonts w:ascii="Arial" w:hAnsi="Arial" w:cs="Arial"/>
          <w:sz w:val="22"/>
          <w:szCs w:val="22"/>
        </w:rPr>
        <w:t>required</w:t>
      </w:r>
      <w:r w:rsidR="002B562D" w:rsidRPr="00B131F4">
        <w:rPr>
          <w:rFonts w:ascii="Arial" w:hAnsi="Arial" w:cs="Arial"/>
          <w:sz w:val="22"/>
          <w:szCs w:val="22"/>
        </w:rPr>
        <w:t xml:space="preserve"> by section 4(6). </w:t>
      </w:r>
      <w:r w:rsidR="00712A49" w:rsidRPr="00B131F4">
        <w:rPr>
          <w:rFonts w:ascii="Arial" w:hAnsi="Arial" w:cs="Arial"/>
          <w:sz w:val="22"/>
          <w:szCs w:val="22"/>
        </w:rPr>
        <w:t xml:space="preserve">I am not persuaded </w:t>
      </w:r>
      <w:r w:rsidR="00E82624" w:rsidRPr="00B131F4">
        <w:rPr>
          <w:rFonts w:ascii="Arial" w:hAnsi="Arial" w:cs="Arial"/>
          <w:sz w:val="22"/>
          <w:szCs w:val="22"/>
        </w:rPr>
        <w:t xml:space="preserve">that </w:t>
      </w:r>
      <w:r w:rsidR="002B161B" w:rsidRPr="00B131F4">
        <w:rPr>
          <w:rFonts w:ascii="Arial" w:hAnsi="Arial" w:cs="Arial"/>
          <w:sz w:val="22"/>
          <w:szCs w:val="22"/>
        </w:rPr>
        <w:t xml:space="preserve">section 4(2) </w:t>
      </w:r>
      <w:r w:rsidR="00433D77" w:rsidRPr="00B131F4">
        <w:rPr>
          <w:rFonts w:ascii="Arial" w:hAnsi="Arial" w:cs="Arial"/>
          <w:sz w:val="22"/>
          <w:szCs w:val="22"/>
        </w:rPr>
        <w:t>includes</w:t>
      </w:r>
      <w:r w:rsidR="005A3011" w:rsidRPr="00B131F4">
        <w:rPr>
          <w:rFonts w:ascii="Arial" w:hAnsi="Arial" w:cs="Arial"/>
          <w:sz w:val="22"/>
          <w:szCs w:val="22"/>
        </w:rPr>
        <w:t xml:space="preserve"> a</w:t>
      </w:r>
      <w:r w:rsidR="006B11C4" w:rsidRPr="00B131F4">
        <w:rPr>
          <w:rFonts w:ascii="Arial" w:hAnsi="Arial" w:cs="Arial"/>
          <w:sz w:val="22"/>
          <w:szCs w:val="22"/>
        </w:rPr>
        <w:t xml:space="preserve"> power</w:t>
      </w:r>
      <w:r w:rsidR="001B36BF" w:rsidRPr="00B131F4">
        <w:rPr>
          <w:rFonts w:ascii="Arial" w:hAnsi="Arial" w:cs="Arial"/>
          <w:sz w:val="22"/>
          <w:szCs w:val="22"/>
        </w:rPr>
        <w:t xml:space="preserve"> </w:t>
      </w:r>
      <w:r w:rsidR="00FB5B20" w:rsidRPr="00B131F4">
        <w:rPr>
          <w:rFonts w:ascii="Arial" w:hAnsi="Arial" w:cs="Arial"/>
          <w:sz w:val="22"/>
          <w:szCs w:val="22"/>
        </w:rPr>
        <w:t xml:space="preserve">to provide support </w:t>
      </w:r>
      <w:r w:rsidR="00636784" w:rsidRPr="00B131F4">
        <w:rPr>
          <w:rFonts w:ascii="Arial" w:hAnsi="Arial" w:cs="Arial"/>
          <w:sz w:val="22"/>
          <w:szCs w:val="22"/>
        </w:rPr>
        <w:t xml:space="preserve">in </w:t>
      </w:r>
      <w:r w:rsidR="002A7CFA">
        <w:rPr>
          <w:rFonts w:ascii="Arial" w:hAnsi="Arial" w:cs="Arial"/>
          <w:sz w:val="22"/>
          <w:szCs w:val="22"/>
        </w:rPr>
        <w:t xml:space="preserve">wholly </w:t>
      </w:r>
      <w:r w:rsidR="00636784" w:rsidRPr="00B131F4">
        <w:rPr>
          <w:rFonts w:ascii="Arial" w:hAnsi="Arial" w:cs="Arial"/>
          <w:sz w:val="22"/>
          <w:szCs w:val="22"/>
        </w:rPr>
        <w:t xml:space="preserve">exceptional </w:t>
      </w:r>
      <w:r w:rsidR="002A7CFA">
        <w:rPr>
          <w:rFonts w:ascii="Arial" w:hAnsi="Arial" w:cs="Arial"/>
          <w:sz w:val="22"/>
          <w:szCs w:val="22"/>
        </w:rPr>
        <w:t xml:space="preserve">or compassionate </w:t>
      </w:r>
      <w:r w:rsidR="00636784" w:rsidRPr="00B131F4">
        <w:rPr>
          <w:rFonts w:ascii="Arial" w:hAnsi="Arial" w:cs="Arial"/>
          <w:sz w:val="22"/>
          <w:szCs w:val="22"/>
        </w:rPr>
        <w:t xml:space="preserve">circumstances </w:t>
      </w:r>
      <w:r w:rsidR="00FB5B20" w:rsidRPr="00B131F4">
        <w:rPr>
          <w:rFonts w:ascii="Arial" w:hAnsi="Arial" w:cs="Arial"/>
          <w:sz w:val="22"/>
          <w:szCs w:val="22"/>
        </w:rPr>
        <w:t xml:space="preserve">to those who do not </w:t>
      </w:r>
      <w:r w:rsidR="00B31419" w:rsidRPr="00B131F4">
        <w:rPr>
          <w:rFonts w:ascii="Arial" w:hAnsi="Arial" w:cs="Arial"/>
          <w:sz w:val="22"/>
          <w:szCs w:val="22"/>
        </w:rPr>
        <w:t xml:space="preserve">meet the </w:t>
      </w:r>
      <w:r w:rsidR="00E56295" w:rsidRPr="00B131F4">
        <w:rPr>
          <w:rFonts w:ascii="Arial" w:hAnsi="Arial" w:cs="Arial"/>
          <w:sz w:val="22"/>
          <w:szCs w:val="22"/>
        </w:rPr>
        <w:t xml:space="preserve">requirements of destitution and the </w:t>
      </w:r>
      <w:r w:rsidR="00B31419" w:rsidRPr="00B131F4">
        <w:rPr>
          <w:rFonts w:ascii="Arial" w:hAnsi="Arial" w:cs="Arial"/>
          <w:sz w:val="22"/>
          <w:szCs w:val="22"/>
        </w:rPr>
        <w:t>conditions</w:t>
      </w:r>
      <w:r w:rsidR="00E56295" w:rsidRPr="00B131F4">
        <w:rPr>
          <w:rFonts w:ascii="Arial" w:hAnsi="Arial" w:cs="Arial"/>
          <w:sz w:val="22"/>
          <w:szCs w:val="22"/>
        </w:rPr>
        <w:t xml:space="preserve"> in </w:t>
      </w:r>
      <w:r w:rsidR="00BB064F" w:rsidRPr="00B131F4">
        <w:rPr>
          <w:rFonts w:ascii="Arial" w:hAnsi="Arial" w:cs="Arial"/>
          <w:sz w:val="22"/>
          <w:szCs w:val="22"/>
        </w:rPr>
        <w:t>regulation 3(2)</w:t>
      </w:r>
      <w:r w:rsidR="00CC46E6" w:rsidRPr="00B131F4">
        <w:rPr>
          <w:rFonts w:ascii="Arial" w:hAnsi="Arial" w:cs="Arial"/>
          <w:sz w:val="22"/>
          <w:szCs w:val="22"/>
        </w:rPr>
        <w:t>,</w:t>
      </w:r>
      <w:r w:rsidR="00E10561" w:rsidRPr="00B131F4">
        <w:rPr>
          <w:rFonts w:ascii="Arial" w:hAnsi="Arial" w:cs="Arial"/>
          <w:sz w:val="22"/>
          <w:szCs w:val="22"/>
        </w:rPr>
        <w:t xml:space="preserve"> </w:t>
      </w:r>
      <w:r w:rsidR="001B36BF" w:rsidRPr="00B131F4">
        <w:rPr>
          <w:rFonts w:ascii="Arial" w:hAnsi="Arial" w:cs="Arial"/>
          <w:sz w:val="22"/>
          <w:szCs w:val="22"/>
        </w:rPr>
        <w:t xml:space="preserve">other than </w:t>
      </w:r>
      <w:r w:rsidR="00B50FCB">
        <w:rPr>
          <w:rFonts w:ascii="Arial" w:hAnsi="Arial" w:cs="Arial"/>
          <w:sz w:val="22"/>
          <w:szCs w:val="22"/>
        </w:rPr>
        <w:t xml:space="preserve">possibly </w:t>
      </w:r>
      <w:r w:rsidR="001B36BF" w:rsidRPr="00B131F4">
        <w:rPr>
          <w:rFonts w:ascii="Arial" w:hAnsi="Arial" w:cs="Arial"/>
          <w:sz w:val="22"/>
          <w:szCs w:val="22"/>
        </w:rPr>
        <w:t xml:space="preserve">under </w:t>
      </w:r>
      <w:r w:rsidR="00E10561" w:rsidRPr="00B131F4">
        <w:rPr>
          <w:rFonts w:ascii="Arial" w:hAnsi="Arial" w:cs="Arial"/>
          <w:sz w:val="22"/>
          <w:szCs w:val="22"/>
        </w:rPr>
        <w:t xml:space="preserve">schedule 10 </w:t>
      </w:r>
      <w:r w:rsidR="006B5022" w:rsidRPr="00B131F4">
        <w:rPr>
          <w:rFonts w:ascii="Arial" w:hAnsi="Arial" w:cs="Arial"/>
          <w:sz w:val="22"/>
          <w:szCs w:val="22"/>
        </w:rPr>
        <w:t>to the Immigration Act 2016</w:t>
      </w:r>
      <w:r w:rsidR="00D83828" w:rsidRPr="00B131F4">
        <w:rPr>
          <w:rFonts w:ascii="Arial" w:hAnsi="Arial" w:cs="Arial"/>
          <w:sz w:val="22"/>
          <w:szCs w:val="22"/>
        </w:rPr>
        <w:t xml:space="preserve">. </w:t>
      </w:r>
      <w:r w:rsidR="00771987" w:rsidRPr="00B131F4">
        <w:rPr>
          <w:rFonts w:ascii="Arial" w:hAnsi="Arial" w:cs="Arial"/>
          <w:sz w:val="22"/>
          <w:szCs w:val="22"/>
        </w:rPr>
        <w:t xml:space="preserve">I </w:t>
      </w:r>
      <w:r w:rsidR="00482EFF" w:rsidRPr="00B131F4">
        <w:rPr>
          <w:rFonts w:ascii="Arial" w:hAnsi="Arial" w:cs="Arial"/>
          <w:sz w:val="22"/>
          <w:szCs w:val="22"/>
        </w:rPr>
        <w:t xml:space="preserve">have seen no authority to suggest that </w:t>
      </w:r>
      <w:r w:rsidR="00F65E93" w:rsidRPr="00B131F4">
        <w:rPr>
          <w:rFonts w:ascii="Arial" w:hAnsi="Arial" w:cs="Arial"/>
          <w:sz w:val="22"/>
          <w:szCs w:val="22"/>
        </w:rPr>
        <w:t>Mr Cox’s</w:t>
      </w:r>
      <w:r w:rsidR="00482EFF" w:rsidRPr="00B131F4">
        <w:rPr>
          <w:rFonts w:ascii="Arial" w:hAnsi="Arial" w:cs="Arial"/>
          <w:sz w:val="22"/>
          <w:szCs w:val="22"/>
        </w:rPr>
        <w:t xml:space="preserve"> </w:t>
      </w:r>
      <w:r w:rsidR="00B50771" w:rsidRPr="00B131F4">
        <w:rPr>
          <w:rFonts w:ascii="Arial" w:hAnsi="Arial" w:cs="Arial"/>
          <w:sz w:val="22"/>
          <w:szCs w:val="22"/>
        </w:rPr>
        <w:t xml:space="preserve">analysis </w:t>
      </w:r>
      <w:r w:rsidR="00E16752" w:rsidRPr="00B131F4">
        <w:rPr>
          <w:rFonts w:ascii="Arial" w:hAnsi="Arial" w:cs="Arial"/>
          <w:sz w:val="22"/>
          <w:szCs w:val="22"/>
        </w:rPr>
        <w:t xml:space="preserve">has the support of </w:t>
      </w:r>
      <w:r w:rsidR="00363EDC" w:rsidRPr="00B131F4">
        <w:rPr>
          <w:rFonts w:ascii="Arial" w:hAnsi="Arial" w:cs="Arial"/>
          <w:sz w:val="22"/>
          <w:szCs w:val="22"/>
        </w:rPr>
        <w:t xml:space="preserve">the </w:t>
      </w:r>
      <w:r w:rsidR="00E16752" w:rsidRPr="00B131F4">
        <w:rPr>
          <w:rFonts w:ascii="Arial" w:hAnsi="Arial" w:cs="Arial"/>
          <w:sz w:val="22"/>
          <w:szCs w:val="22"/>
        </w:rPr>
        <w:t>Higher Courts</w:t>
      </w:r>
      <w:r w:rsidR="00F66F56" w:rsidRPr="00B131F4">
        <w:rPr>
          <w:rFonts w:ascii="Arial" w:hAnsi="Arial" w:cs="Arial"/>
          <w:sz w:val="22"/>
          <w:szCs w:val="22"/>
        </w:rPr>
        <w:t xml:space="preserve"> and I reject it.</w:t>
      </w:r>
    </w:p>
    <w:p w14:paraId="78BB44F0" w14:textId="77777777" w:rsidR="00F66F56" w:rsidRPr="00A4399B" w:rsidRDefault="00F66F56" w:rsidP="00F66F56">
      <w:pPr>
        <w:pStyle w:val="ListParagraph"/>
        <w:autoSpaceDE w:val="0"/>
        <w:autoSpaceDN w:val="0"/>
        <w:adjustRightInd w:val="0"/>
        <w:ind w:left="0"/>
        <w:jc w:val="both"/>
        <w:rPr>
          <w:rFonts w:ascii="Arial" w:hAnsi="Arial" w:cs="Arial"/>
          <w:b/>
          <w:sz w:val="22"/>
          <w:szCs w:val="22"/>
        </w:rPr>
      </w:pPr>
    </w:p>
    <w:p w14:paraId="358ADCCC" w14:textId="4C59233B" w:rsidR="00011042" w:rsidRPr="00A4399B" w:rsidRDefault="00011042" w:rsidP="00F66F56">
      <w:pPr>
        <w:pStyle w:val="ListParagraph"/>
        <w:autoSpaceDE w:val="0"/>
        <w:autoSpaceDN w:val="0"/>
        <w:adjustRightInd w:val="0"/>
        <w:ind w:left="0"/>
        <w:jc w:val="both"/>
        <w:rPr>
          <w:rFonts w:ascii="Arial" w:hAnsi="Arial" w:cs="Arial"/>
          <w:b/>
          <w:i/>
          <w:sz w:val="22"/>
          <w:szCs w:val="22"/>
        </w:rPr>
      </w:pPr>
      <w:r w:rsidRPr="00A4399B">
        <w:rPr>
          <w:rFonts w:ascii="Arial" w:hAnsi="Arial" w:cs="Arial"/>
          <w:b/>
          <w:i/>
          <w:sz w:val="22"/>
          <w:szCs w:val="22"/>
        </w:rPr>
        <w:t>Scope of</w:t>
      </w:r>
      <w:r w:rsidR="0091275F">
        <w:rPr>
          <w:rFonts w:ascii="Arial" w:hAnsi="Arial" w:cs="Arial"/>
          <w:b/>
          <w:i/>
          <w:sz w:val="22"/>
          <w:szCs w:val="22"/>
        </w:rPr>
        <w:t xml:space="preserve"> r</w:t>
      </w:r>
      <w:r w:rsidRPr="00A4399B">
        <w:rPr>
          <w:rFonts w:ascii="Arial" w:hAnsi="Arial" w:cs="Arial"/>
          <w:b/>
          <w:i/>
          <w:sz w:val="22"/>
          <w:szCs w:val="22"/>
        </w:rPr>
        <w:t>eg</w:t>
      </w:r>
      <w:r w:rsidR="0091275F">
        <w:rPr>
          <w:rFonts w:ascii="Arial" w:hAnsi="Arial" w:cs="Arial"/>
          <w:b/>
          <w:i/>
          <w:sz w:val="22"/>
          <w:szCs w:val="22"/>
        </w:rPr>
        <w:t>ulation</w:t>
      </w:r>
      <w:r w:rsidRPr="00A4399B">
        <w:rPr>
          <w:rFonts w:ascii="Arial" w:hAnsi="Arial" w:cs="Arial"/>
          <w:b/>
          <w:i/>
          <w:sz w:val="22"/>
          <w:szCs w:val="22"/>
        </w:rPr>
        <w:t xml:space="preserve"> 3(2)(e)</w:t>
      </w:r>
    </w:p>
    <w:p w14:paraId="3699637F" w14:textId="08CCEEB3" w:rsidR="00011042" w:rsidRPr="00A4399B" w:rsidRDefault="00A92210" w:rsidP="00011042">
      <w:pPr>
        <w:jc w:val="both"/>
        <w:rPr>
          <w:rFonts w:ascii="Arial" w:hAnsi="Arial" w:cs="Arial"/>
          <w:b/>
          <w:i/>
          <w:sz w:val="22"/>
          <w:szCs w:val="22"/>
        </w:rPr>
      </w:pPr>
      <w:r w:rsidRPr="00A4399B">
        <w:rPr>
          <w:rFonts w:ascii="Arial" w:hAnsi="Arial" w:cs="Arial"/>
          <w:b/>
          <w:i/>
          <w:sz w:val="22"/>
          <w:szCs w:val="22"/>
        </w:rPr>
        <w:t xml:space="preserve">Can </w:t>
      </w:r>
      <w:r w:rsidR="0091275F">
        <w:rPr>
          <w:rFonts w:ascii="Arial" w:hAnsi="Arial" w:cs="Arial"/>
          <w:b/>
          <w:i/>
          <w:sz w:val="22"/>
          <w:szCs w:val="22"/>
        </w:rPr>
        <w:t>r</w:t>
      </w:r>
      <w:r w:rsidRPr="00A4399B">
        <w:rPr>
          <w:rFonts w:ascii="Arial" w:hAnsi="Arial" w:cs="Arial"/>
          <w:b/>
          <w:i/>
          <w:sz w:val="22"/>
          <w:szCs w:val="22"/>
        </w:rPr>
        <w:t>egulation 3(2)(e) be satisfied in respect of an individual destitute failed asylum seeker because the threat to public health means that denial of section 4 accommodation to that individual would breach his human rights or those of the general public</w:t>
      </w:r>
      <w:r w:rsidR="006C367F" w:rsidRPr="00A4399B">
        <w:rPr>
          <w:rFonts w:ascii="Arial" w:hAnsi="Arial" w:cs="Arial"/>
          <w:b/>
          <w:i/>
          <w:sz w:val="22"/>
          <w:szCs w:val="22"/>
        </w:rPr>
        <w:t>?</w:t>
      </w:r>
    </w:p>
    <w:p w14:paraId="339CA188" w14:textId="77777777" w:rsidR="006C367F" w:rsidRPr="00A4399B" w:rsidRDefault="006C367F" w:rsidP="00011042">
      <w:pPr>
        <w:jc w:val="both"/>
        <w:rPr>
          <w:rFonts w:ascii="Arial" w:hAnsi="Arial" w:cs="Arial"/>
          <w:b/>
          <w:sz w:val="22"/>
          <w:szCs w:val="22"/>
        </w:rPr>
      </w:pPr>
    </w:p>
    <w:p w14:paraId="2CCC5AC0" w14:textId="144FE2BB" w:rsidR="00DB00D6" w:rsidRPr="001E52D2" w:rsidRDefault="00451F18" w:rsidP="00451F18">
      <w:pPr>
        <w:tabs>
          <w:tab w:val="num" w:pos="0"/>
          <w:tab w:val="left" w:pos="567"/>
        </w:tabs>
        <w:jc w:val="both"/>
        <w:rPr>
          <w:rFonts w:ascii="Arial" w:hAnsi="Arial" w:cs="Arial"/>
          <w:sz w:val="22"/>
          <w:szCs w:val="22"/>
        </w:rPr>
      </w:pPr>
      <w:r>
        <w:rPr>
          <w:rFonts w:ascii="Arial" w:hAnsi="Arial" w:cs="Arial"/>
          <w:sz w:val="22"/>
          <w:szCs w:val="22"/>
        </w:rPr>
        <w:t>51</w:t>
      </w:r>
      <w:r w:rsidR="001E52D2">
        <w:rPr>
          <w:rFonts w:ascii="Arial" w:hAnsi="Arial" w:cs="Arial"/>
          <w:sz w:val="22"/>
          <w:szCs w:val="22"/>
        </w:rPr>
        <w:t>.</w:t>
      </w:r>
      <w:r w:rsidR="001E52D2">
        <w:rPr>
          <w:rFonts w:ascii="Arial" w:hAnsi="Arial" w:cs="Arial"/>
          <w:sz w:val="22"/>
          <w:szCs w:val="22"/>
        </w:rPr>
        <w:tab/>
      </w:r>
      <w:r w:rsidR="008A5A2C" w:rsidRPr="001E52D2">
        <w:rPr>
          <w:rFonts w:ascii="Arial" w:hAnsi="Arial" w:cs="Arial"/>
          <w:sz w:val="22"/>
          <w:szCs w:val="22"/>
        </w:rPr>
        <w:t xml:space="preserve">In </w:t>
      </w:r>
      <w:r w:rsidR="008A5A2C" w:rsidRPr="001E52D2">
        <w:rPr>
          <w:rFonts w:ascii="Arial" w:hAnsi="Arial" w:cs="Arial"/>
          <w:i/>
          <w:iCs/>
          <w:sz w:val="22"/>
          <w:szCs w:val="22"/>
        </w:rPr>
        <w:t xml:space="preserve">PA </w:t>
      </w:r>
      <w:r w:rsidR="0091275F">
        <w:rPr>
          <w:rFonts w:ascii="Arial" w:hAnsi="Arial" w:cs="Arial"/>
          <w:i/>
          <w:iCs/>
          <w:sz w:val="22"/>
          <w:szCs w:val="22"/>
        </w:rPr>
        <w:t>and</w:t>
      </w:r>
      <w:r w:rsidR="008A5A2C" w:rsidRPr="001E52D2">
        <w:rPr>
          <w:rFonts w:ascii="Arial" w:hAnsi="Arial" w:cs="Arial"/>
          <w:i/>
          <w:iCs/>
          <w:sz w:val="22"/>
          <w:szCs w:val="22"/>
        </w:rPr>
        <w:t xml:space="preserve"> MA</w:t>
      </w:r>
      <w:r w:rsidR="008A5A2C" w:rsidRPr="001E52D2">
        <w:rPr>
          <w:rFonts w:ascii="Arial" w:hAnsi="Arial" w:cs="Arial"/>
          <w:sz w:val="22"/>
          <w:szCs w:val="22"/>
        </w:rPr>
        <w:t xml:space="preserve">, </w:t>
      </w:r>
      <w:r w:rsidR="001802DC" w:rsidRPr="001E52D2">
        <w:rPr>
          <w:rFonts w:ascii="Arial" w:hAnsi="Arial" w:cs="Arial"/>
          <w:sz w:val="22"/>
          <w:szCs w:val="22"/>
        </w:rPr>
        <w:t xml:space="preserve">I </w:t>
      </w:r>
      <w:r w:rsidR="008A5A2C" w:rsidRPr="001E52D2">
        <w:rPr>
          <w:rFonts w:ascii="Arial" w:hAnsi="Arial" w:cs="Arial"/>
          <w:sz w:val="22"/>
          <w:szCs w:val="22"/>
        </w:rPr>
        <w:t xml:space="preserve">concluded </w:t>
      </w:r>
      <w:r w:rsidR="006B274D" w:rsidRPr="001E52D2">
        <w:rPr>
          <w:rFonts w:ascii="Arial" w:hAnsi="Arial" w:cs="Arial"/>
          <w:sz w:val="22"/>
          <w:szCs w:val="22"/>
        </w:rPr>
        <w:t xml:space="preserve">that it would be </w:t>
      </w:r>
      <w:r w:rsidR="003C589F" w:rsidRPr="001E52D2">
        <w:rPr>
          <w:rFonts w:ascii="Arial" w:hAnsi="Arial" w:cs="Arial"/>
          <w:sz w:val="22"/>
          <w:szCs w:val="22"/>
        </w:rPr>
        <w:t>unreasonable to discontinue support to persons in receipt of section 4 support</w:t>
      </w:r>
      <w:r w:rsidR="006B274D" w:rsidRPr="001E52D2">
        <w:rPr>
          <w:rFonts w:ascii="Arial" w:hAnsi="Arial" w:cs="Arial"/>
          <w:sz w:val="22"/>
          <w:szCs w:val="22"/>
        </w:rPr>
        <w:t xml:space="preserve"> </w:t>
      </w:r>
      <w:r w:rsidR="003C589F" w:rsidRPr="001E52D2">
        <w:rPr>
          <w:rFonts w:ascii="Arial" w:hAnsi="Arial" w:cs="Arial"/>
          <w:sz w:val="22"/>
          <w:szCs w:val="22"/>
        </w:rPr>
        <w:t xml:space="preserve">who reside in Tier 3 areas subject to very high alert. </w:t>
      </w:r>
      <w:r w:rsidR="00265956" w:rsidRPr="001E52D2">
        <w:rPr>
          <w:rFonts w:ascii="Arial" w:hAnsi="Arial" w:cs="Arial"/>
          <w:sz w:val="22"/>
          <w:szCs w:val="22"/>
        </w:rPr>
        <w:t xml:space="preserve">I </w:t>
      </w:r>
      <w:r w:rsidR="00FC3F43" w:rsidRPr="001E52D2">
        <w:rPr>
          <w:rFonts w:ascii="Arial" w:hAnsi="Arial" w:cs="Arial"/>
          <w:sz w:val="22"/>
          <w:szCs w:val="22"/>
        </w:rPr>
        <w:t>held</w:t>
      </w:r>
      <w:r w:rsidR="00265956" w:rsidRPr="001E52D2">
        <w:rPr>
          <w:rFonts w:ascii="Arial" w:hAnsi="Arial" w:cs="Arial"/>
          <w:sz w:val="22"/>
          <w:szCs w:val="22"/>
        </w:rPr>
        <w:t xml:space="preserve"> that in </w:t>
      </w:r>
      <w:r w:rsidR="00B50FCB">
        <w:rPr>
          <w:rFonts w:ascii="Arial" w:hAnsi="Arial" w:cs="Arial"/>
          <w:sz w:val="22"/>
          <w:szCs w:val="22"/>
        </w:rPr>
        <w:t xml:space="preserve">these high </w:t>
      </w:r>
      <w:r w:rsidR="00C25DA3">
        <w:rPr>
          <w:rFonts w:ascii="Arial" w:hAnsi="Arial" w:cs="Arial"/>
          <w:sz w:val="22"/>
          <w:szCs w:val="22"/>
        </w:rPr>
        <w:t xml:space="preserve">alert </w:t>
      </w:r>
      <w:r w:rsidR="008D3FC4" w:rsidRPr="001E52D2">
        <w:rPr>
          <w:rFonts w:ascii="Arial" w:hAnsi="Arial" w:cs="Arial"/>
          <w:sz w:val="22"/>
          <w:szCs w:val="22"/>
        </w:rPr>
        <w:t>areas</w:t>
      </w:r>
      <w:r w:rsidR="00265956" w:rsidRPr="001E52D2">
        <w:rPr>
          <w:rFonts w:ascii="Arial" w:hAnsi="Arial" w:cs="Arial"/>
          <w:sz w:val="22"/>
          <w:szCs w:val="22"/>
        </w:rPr>
        <w:t xml:space="preserve"> subject to tough restrictions on movement, ending support to persons in receipt of section 4 support may again place them and others in their communities at greater risk of harm in breach of their Convention rights. </w:t>
      </w:r>
      <w:r w:rsidR="00730D6A" w:rsidRPr="001E52D2">
        <w:rPr>
          <w:rFonts w:ascii="Arial" w:hAnsi="Arial" w:cs="Arial"/>
          <w:sz w:val="22"/>
          <w:szCs w:val="22"/>
        </w:rPr>
        <w:t>I then went to s</w:t>
      </w:r>
      <w:r w:rsidR="00C9012C" w:rsidRPr="001E52D2">
        <w:rPr>
          <w:rFonts w:ascii="Arial" w:hAnsi="Arial" w:cs="Arial"/>
          <w:sz w:val="22"/>
          <w:szCs w:val="22"/>
        </w:rPr>
        <w:t>tate</w:t>
      </w:r>
      <w:r w:rsidR="00730D6A" w:rsidRPr="001E52D2">
        <w:rPr>
          <w:rFonts w:ascii="Arial" w:hAnsi="Arial" w:cs="Arial"/>
          <w:sz w:val="22"/>
          <w:szCs w:val="22"/>
        </w:rPr>
        <w:t>:</w:t>
      </w:r>
    </w:p>
    <w:p w14:paraId="2DE34B3B" w14:textId="77777777" w:rsidR="002806EA" w:rsidRPr="00A4399B" w:rsidRDefault="002806EA" w:rsidP="002806EA">
      <w:pPr>
        <w:pStyle w:val="ListParagraph"/>
        <w:ind w:left="0"/>
        <w:jc w:val="both"/>
        <w:rPr>
          <w:rFonts w:ascii="Arial" w:hAnsi="Arial" w:cs="Arial"/>
          <w:sz w:val="22"/>
          <w:szCs w:val="22"/>
        </w:rPr>
      </w:pPr>
    </w:p>
    <w:p w14:paraId="58BF81D3" w14:textId="199D6B0D" w:rsidR="008A5A2C" w:rsidRPr="00A4399B" w:rsidRDefault="008A5A2C" w:rsidP="009468C1">
      <w:pPr>
        <w:pStyle w:val="ListParagraph"/>
        <w:autoSpaceDE w:val="0"/>
        <w:autoSpaceDN w:val="0"/>
        <w:adjustRightInd w:val="0"/>
        <w:ind w:right="567"/>
        <w:jc w:val="both"/>
        <w:rPr>
          <w:rFonts w:ascii="Arial" w:hAnsi="Arial" w:cs="Arial"/>
          <w:sz w:val="22"/>
          <w:szCs w:val="22"/>
        </w:rPr>
      </w:pPr>
      <w:r w:rsidRPr="00A4399B">
        <w:rPr>
          <w:rFonts w:ascii="Arial" w:hAnsi="Arial" w:cs="Arial"/>
          <w:sz w:val="22"/>
          <w:szCs w:val="22"/>
        </w:rPr>
        <w:t>“49. Irrespective of whether such discontinuances would engage the high thresholds of</w:t>
      </w:r>
      <w:r w:rsidR="00C4695A" w:rsidRPr="00A4399B">
        <w:rPr>
          <w:rFonts w:ascii="Arial" w:hAnsi="Arial" w:cs="Arial"/>
          <w:sz w:val="22"/>
          <w:szCs w:val="22"/>
        </w:rPr>
        <w:t xml:space="preserve"> </w:t>
      </w:r>
      <w:r w:rsidRPr="00A4399B">
        <w:rPr>
          <w:rFonts w:ascii="Arial" w:hAnsi="Arial" w:cs="Arial"/>
          <w:sz w:val="22"/>
          <w:szCs w:val="22"/>
        </w:rPr>
        <w:t>Articles 2 and/or Article 3, they would certainly engage Article 8 in that any assessment</w:t>
      </w:r>
      <w:r w:rsidR="00C4695A" w:rsidRPr="00A4399B">
        <w:rPr>
          <w:rFonts w:ascii="Arial" w:hAnsi="Arial" w:cs="Arial"/>
          <w:sz w:val="22"/>
          <w:szCs w:val="22"/>
        </w:rPr>
        <w:t xml:space="preserve"> </w:t>
      </w:r>
      <w:r w:rsidRPr="00A4399B">
        <w:rPr>
          <w:rFonts w:ascii="Arial" w:hAnsi="Arial" w:cs="Arial"/>
          <w:sz w:val="22"/>
          <w:szCs w:val="22"/>
        </w:rPr>
        <w:t>of proportionality must have regard to the public interest, including public health</w:t>
      </w:r>
      <w:r w:rsidR="00C4695A" w:rsidRPr="00A4399B">
        <w:rPr>
          <w:rFonts w:ascii="Arial" w:hAnsi="Arial" w:cs="Arial"/>
          <w:sz w:val="22"/>
          <w:szCs w:val="22"/>
        </w:rPr>
        <w:t xml:space="preserve"> </w:t>
      </w:r>
      <w:r w:rsidRPr="00A4399B">
        <w:rPr>
          <w:rFonts w:ascii="Arial" w:hAnsi="Arial" w:cs="Arial"/>
          <w:sz w:val="22"/>
          <w:szCs w:val="22"/>
        </w:rPr>
        <w:t>considerations and in any assessment of proportionality the weight to be attached to suc</w:t>
      </w:r>
      <w:r w:rsidR="00C4695A" w:rsidRPr="00A4399B">
        <w:rPr>
          <w:rFonts w:ascii="Arial" w:hAnsi="Arial" w:cs="Arial"/>
          <w:sz w:val="22"/>
          <w:szCs w:val="22"/>
        </w:rPr>
        <w:t xml:space="preserve">h </w:t>
      </w:r>
      <w:r w:rsidRPr="00A4399B">
        <w:rPr>
          <w:rFonts w:ascii="Arial" w:hAnsi="Arial" w:cs="Arial"/>
          <w:sz w:val="22"/>
          <w:szCs w:val="22"/>
        </w:rPr>
        <w:t>considerations would be very high.”</w:t>
      </w:r>
    </w:p>
    <w:p w14:paraId="4720A079" w14:textId="77777777" w:rsidR="00C4695A" w:rsidRPr="00A4399B" w:rsidRDefault="00C4695A" w:rsidP="00C4695A">
      <w:pPr>
        <w:pStyle w:val="ListParagraph"/>
        <w:autoSpaceDE w:val="0"/>
        <w:autoSpaceDN w:val="0"/>
        <w:adjustRightInd w:val="0"/>
        <w:rPr>
          <w:rFonts w:ascii="TimesNewRomanPSMT" w:hAnsi="TimesNewRomanPSMT" w:cs="TimesNewRomanPSMT"/>
          <w:sz w:val="24"/>
          <w:szCs w:val="24"/>
        </w:rPr>
      </w:pPr>
    </w:p>
    <w:p w14:paraId="61EAA4E4" w14:textId="63C8FBBC" w:rsidR="002E7A45" w:rsidRPr="001E52D2" w:rsidRDefault="00451F18" w:rsidP="00451F18">
      <w:pPr>
        <w:tabs>
          <w:tab w:val="num" w:pos="0"/>
          <w:tab w:val="left" w:pos="546"/>
        </w:tabs>
        <w:jc w:val="both"/>
        <w:rPr>
          <w:rFonts w:ascii="Arial" w:hAnsi="Arial" w:cs="Arial"/>
          <w:sz w:val="22"/>
          <w:szCs w:val="22"/>
        </w:rPr>
      </w:pPr>
      <w:r>
        <w:rPr>
          <w:rFonts w:ascii="Arial" w:hAnsi="Arial" w:cs="Arial"/>
          <w:sz w:val="22"/>
          <w:szCs w:val="22"/>
        </w:rPr>
        <w:t>52</w:t>
      </w:r>
      <w:r w:rsidR="001E52D2">
        <w:rPr>
          <w:rFonts w:ascii="Arial" w:hAnsi="Arial" w:cs="Arial"/>
          <w:sz w:val="22"/>
          <w:szCs w:val="22"/>
        </w:rPr>
        <w:t>.</w:t>
      </w:r>
      <w:r w:rsidR="001E52D2">
        <w:rPr>
          <w:rFonts w:ascii="Arial" w:hAnsi="Arial" w:cs="Arial"/>
          <w:sz w:val="22"/>
          <w:szCs w:val="22"/>
        </w:rPr>
        <w:tab/>
      </w:r>
      <w:r w:rsidR="00506C04" w:rsidRPr="001E52D2">
        <w:rPr>
          <w:rFonts w:ascii="Arial" w:hAnsi="Arial" w:cs="Arial"/>
          <w:sz w:val="22"/>
          <w:szCs w:val="22"/>
        </w:rPr>
        <w:t>Mr Cox agree</w:t>
      </w:r>
      <w:r w:rsidR="0091275F">
        <w:rPr>
          <w:rFonts w:ascii="Arial" w:hAnsi="Arial" w:cs="Arial"/>
          <w:sz w:val="22"/>
          <w:szCs w:val="22"/>
        </w:rPr>
        <w:t>d</w:t>
      </w:r>
      <w:r w:rsidR="00506C04" w:rsidRPr="001E52D2">
        <w:rPr>
          <w:rFonts w:ascii="Arial" w:hAnsi="Arial" w:cs="Arial"/>
          <w:sz w:val="22"/>
          <w:szCs w:val="22"/>
        </w:rPr>
        <w:t xml:space="preserve"> with that conclusion.</w:t>
      </w:r>
      <w:r w:rsidR="0024310A" w:rsidRPr="001E52D2">
        <w:rPr>
          <w:rFonts w:ascii="Arial" w:hAnsi="Arial" w:cs="Arial"/>
          <w:sz w:val="22"/>
          <w:szCs w:val="22"/>
        </w:rPr>
        <w:t xml:space="preserve"> Ms Idelbi</w:t>
      </w:r>
      <w:r w:rsidR="00AE7EC9">
        <w:rPr>
          <w:rFonts w:ascii="Arial" w:hAnsi="Arial" w:cs="Arial"/>
          <w:sz w:val="22"/>
          <w:szCs w:val="22"/>
        </w:rPr>
        <w:t xml:space="preserve"> did</w:t>
      </w:r>
      <w:r w:rsidR="0024310A" w:rsidRPr="001E52D2">
        <w:rPr>
          <w:rFonts w:ascii="Arial" w:hAnsi="Arial" w:cs="Arial"/>
          <w:sz w:val="22"/>
          <w:szCs w:val="22"/>
        </w:rPr>
        <w:t xml:space="preserve"> not. </w:t>
      </w:r>
      <w:r w:rsidR="0060042D" w:rsidRPr="001E52D2">
        <w:rPr>
          <w:rFonts w:ascii="Arial" w:hAnsi="Arial" w:cs="Arial"/>
          <w:sz w:val="22"/>
          <w:szCs w:val="22"/>
        </w:rPr>
        <w:t>I</w:t>
      </w:r>
      <w:r w:rsidR="001A44EC" w:rsidRPr="001E52D2">
        <w:rPr>
          <w:rFonts w:ascii="Arial" w:hAnsi="Arial" w:cs="Arial"/>
          <w:sz w:val="22"/>
          <w:szCs w:val="22"/>
        </w:rPr>
        <w:t xml:space="preserve"> have not revised my view of </w:t>
      </w:r>
      <w:r w:rsidR="001A44EC" w:rsidRPr="001E52D2">
        <w:rPr>
          <w:rFonts w:ascii="Arial" w:hAnsi="Arial" w:cs="Arial"/>
          <w:i/>
          <w:sz w:val="22"/>
          <w:szCs w:val="22"/>
        </w:rPr>
        <w:t>PA and MA</w:t>
      </w:r>
      <w:r w:rsidR="00C80212" w:rsidRPr="001E52D2">
        <w:rPr>
          <w:rFonts w:ascii="Arial" w:hAnsi="Arial" w:cs="Arial"/>
          <w:i/>
          <w:sz w:val="22"/>
          <w:szCs w:val="22"/>
        </w:rPr>
        <w:t xml:space="preserve"> </w:t>
      </w:r>
      <w:r w:rsidR="00C80212" w:rsidRPr="001E52D2">
        <w:rPr>
          <w:rFonts w:ascii="Arial" w:hAnsi="Arial" w:cs="Arial"/>
          <w:sz w:val="22"/>
          <w:szCs w:val="22"/>
        </w:rPr>
        <w:t xml:space="preserve">but </w:t>
      </w:r>
      <w:r w:rsidR="00636992">
        <w:rPr>
          <w:rFonts w:ascii="Arial" w:hAnsi="Arial" w:cs="Arial"/>
          <w:sz w:val="22"/>
          <w:szCs w:val="22"/>
        </w:rPr>
        <w:t xml:space="preserve">will </w:t>
      </w:r>
      <w:r w:rsidR="006C0B7D" w:rsidRPr="001E52D2">
        <w:rPr>
          <w:rFonts w:ascii="Arial" w:hAnsi="Arial" w:cs="Arial"/>
          <w:sz w:val="22"/>
          <w:szCs w:val="22"/>
        </w:rPr>
        <w:t xml:space="preserve">await the judgment of the Administrative Court. </w:t>
      </w:r>
      <w:r w:rsidR="00686C7A" w:rsidRPr="001E52D2">
        <w:rPr>
          <w:rFonts w:ascii="Arial" w:hAnsi="Arial" w:cs="Arial"/>
          <w:sz w:val="22"/>
          <w:szCs w:val="22"/>
        </w:rPr>
        <w:t>I will</w:t>
      </w:r>
      <w:r w:rsidR="008D0138" w:rsidRPr="001E52D2">
        <w:rPr>
          <w:rFonts w:ascii="Arial" w:hAnsi="Arial" w:cs="Arial"/>
          <w:sz w:val="22"/>
          <w:szCs w:val="22"/>
        </w:rPr>
        <w:t>,</w:t>
      </w:r>
      <w:r w:rsidR="00686C7A" w:rsidRPr="001E52D2">
        <w:rPr>
          <w:rFonts w:ascii="Arial" w:hAnsi="Arial" w:cs="Arial"/>
          <w:sz w:val="22"/>
          <w:szCs w:val="22"/>
        </w:rPr>
        <w:t xml:space="preserve"> </w:t>
      </w:r>
      <w:r w:rsidR="008D0138" w:rsidRPr="001E52D2">
        <w:rPr>
          <w:rFonts w:ascii="Arial" w:hAnsi="Arial" w:cs="Arial"/>
          <w:sz w:val="22"/>
          <w:szCs w:val="22"/>
        </w:rPr>
        <w:t xml:space="preserve">however, </w:t>
      </w:r>
      <w:r w:rsidR="00686C7A" w:rsidRPr="001E52D2">
        <w:rPr>
          <w:rFonts w:ascii="Arial" w:hAnsi="Arial" w:cs="Arial"/>
          <w:sz w:val="22"/>
          <w:szCs w:val="22"/>
        </w:rPr>
        <w:t>address the argument</w:t>
      </w:r>
      <w:r w:rsidR="00E05971" w:rsidRPr="001E52D2">
        <w:rPr>
          <w:rFonts w:ascii="Arial" w:hAnsi="Arial" w:cs="Arial"/>
          <w:sz w:val="22"/>
          <w:szCs w:val="22"/>
        </w:rPr>
        <w:t>s</w:t>
      </w:r>
      <w:r w:rsidR="00686C7A" w:rsidRPr="001E52D2">
        <w:rPr>
          <w:rFonts w:ascii="Arial" w:hAnsi="Arial" w:cs="Arial"/>
          <w:sz w:val="22"/>
          <w:szCs w:val="22"/>
        </w:rPr>
        <w:t xml:space="preserve"> </w:t>
      </w:r>
      <w:r w:rsidR="003C0E29" w:rsidRPr="001E52D2">
        <w:rPr>
          <w:rFonts w:ascii="Arial" w:hAnsi="Arial" w:cs="Arial"/>
          <w:sz w:val="22"/>
          <w:szCs w:val="22"/>
        </w:rPr>
        <w:t xml:space="preserve">on </w:t>
      </w:r>
      <w:r w:rsidR="00286486" w:rsidRPr="001E52D2">
        <w:rPr>
          <w:rFonts w:ascii="Arial" w:hAnsi="Arial" w:cs="Arial"/>
          <w:sz w:val="22"/>
          <w:szCs w:val="22"/>
        </w:rPr>
        <w:t>public health</w:t>
      </w:r>
      <w:r w:rsidR="00BE02EF" w:rsidRPr="001E52D2">
        <w:rPr>
          <w:rFonts w:ascii="Arial" w:hAnsi="Arial" w:cs="Arial"/>
          <w:sz w:val="22"/>
          <w:szCs w:val="22"/>
        </w:rPr>
        <w:t xml:space="preserve"> </w:t>
      </w:r>
      <w:r w:rsidR="001F190B" w:rsidRPr="001E52D2">
        <w:rPr>
          <w:rFonts w:ascii="Arial" w:hAnsi="Arial" w:cs="Arial"/>
          <w:sz w:val="22"/>
          <w:szCs w:val="22"/>
        </w:rPr>
        <w:t>in relation to Articles 2, 3 and 8 ECHR</w:t>
      </w:r>
      <w:r w:rsidR="008D0138" w:rsidRPr="001E52D2">
        <w:rPr>
          <w:rFonts w:ascii="Arial" w:hAnsi="Arial" w:cs="Arial"/>
          <w:sz w:val="22"/>
          <w:szCs w:val="22"/>
        </w:rPr>
        <w:t>, as th</w:t>
      </w:r>
      <w:r w:rsidR="0091275F">
        <w:rPr>
          <w:rFonts w:ascii="Arial" w:hAnsi="Arial" w:cs="Arial"/>
          <w:sz w:val="22"/>
          <w:szCs w:val="22"/>
        </w:rPr>
        <w:t>ese</w:t>
      </w:r>
      <w:r w:rsidR="008D0138" w:rsidRPr="001E52D2">
        <w:rPr>
          <w:rFonts w:ascii="Arial" w:hAnsi="Arial" w:cs="Arial"/>
          <w:sz w:val="22"/>
          <w:szCs w:val="22"/>
        </w:rPr>
        <w:t xml:space="preserve"> </w:t>
      </w:r>
      <w:r w:rsidR="0091275F">
        <w:rPr>
          <w:rFonts w:ascii="Arial" w:hAnsi="Arial" w:cs="Arial"/>
          <w:sz w:val="22"/>
          <w:szCs w:val="22"/>
        </w:rPr>
        <w:t>are</w:t>
      </w:r>
      <w:r w:rsidR="008D0138" w:rsidRPr="001E52D2">
        <w:rPr>
          <w:rFonts w:ascii="Arial" w:hAnsi="Arial" w:cs="Arial"/>
          <w:sz w:val="22"/>
          <w:szCs w:val="22"/>
        </w:rPr>
        <w:t xml:space="preserve"> entirely </w:t>
      </w:r>
      <w:r w:rsidR="000E1FBC" w:rsidRPr="001E52D2">
        <w:rPr>
          <w:rFonts w:ascii="Arial" w:hAnsi="Arial" w:cs="Arial"/>
          <w:sz w:val="22"/>
          <w:szCs w:val="22"/>
        </w:rPr>
        <w:t>new point</w:t>
      </w:r>
      <w:r w:rsidR="0091275F">
        <w:rPr>
          <w:rFonts w:ascii="Arial" w:hAnsi="Arial" w:cs="Arial"/>
          <w:sz w:val="22"/>
          <w:szCs w:val="22"/>
        </w:rPr>
        <w:t>s</w:t>
      </w:r>
      <w:r w:rsidR="000E1FBC" w:rsidRPr="001E52D2">
        <w:rPr>
          <w:rFonts w:ascii="Arial" w:hAnsi="Arial" w:cs="Arial"/>
          <w:sz w:val="22"/>
          <w:szCs w:val="22"/>
        </w:rPr>
        <w:t>.</w:t>
      </w:r>
    </w:p>
    <w:p w14:paraId="6C793FD1" w14:textId="77777777" w:rsidR="00ED4C2A" w:rsidRDefault="00ED4C2A" w:rsidP="00E47FE8">
      <w:pPr>
        <w:jc w:val="both"/>
        <w:rPr>
          <w:rFonts w:ascii="Arial" w:hAnsi="Arial" w:cs="Arial"/>
          <w:b/>
          <w:sz w:val="22"/>
          <w:szCs w:val="22"/>
        </w:rPr>
      </w:pPr>
    </w:p>
    <w:p w14:paraId="799C7849" w14:textId="309558B7" w:rsidR="00E47FE8" w:rsidRPr="00A4399B" w:rsidRDefault="00E47FE8" w:rsidP="00E47FE8">
      <w:pPr>
        <w:jc w:val="both"/>
        <w:rPr>
          <w:rFonts w:ascii="Arial" w:hAnsi="Arial" w:cs="Arial"/>
          <w:b/>
          <w:sz w:val="22"/>
          <w:szCs w:val="22"/>
        </w:rPr>
      </w:pPr>
      <w:r w:rsidRPr="00A4399B">
        <w:rPr>
          <w:rFonts w:ascii="Arial" w:hAnsi="Arial" w:cs="Arial"/>
          <w:b/>
          <w:sz w:val="22"/>
          <w:szCs w:val="22"/>
        </w:rPr>
        <w:t>The appellant in Isolation issue</w:t>
      </w:r>
    </w:p>
    <w:p w14:paraId="0E15E91B" w14:textId="5AAA9441" w:rsidR="00E47FE8" w:rsidRPr="00A4399B" w:rsidRDefault="006B690F" w:rsidP="00090F9F">
      <w:pPr>
        <w:pStyle w:val="ListParagraph"/>
        <w:ind w:left="0"/>
        <w:jc w:val="both"/>
        <w:rPr>
          <w:rFonts w:ascii="Arial" w:hAnsi="Arial" w:cs="Arial"/>
          <w:b/>
          <w:i/>
          <w:sz w:val="22"/>
          <w:szCs w:val="22"/>
        </w:rPr>
      </w:pPr>
      <w:r w:rsidRPr="00A4399B">
        <w:rPr>
          <w:rFonts w:ascii="Arial" w:hAnsi="Arial" w:cs="Arial"/>
          <w:b/>
          <w:i/>
          <w:sz w:val="22"/>
          <w:szCs w:val="22"/>
        </w:rPr>
        <w:t>Should the Tribunal consider only the public health effects of refusing accommodation to one appellant?</w:t>
      </w:r>
    </w:p>
    <w:p w14:paraId="3EED50CB" w14:textId="77777777" w:rsidR="008E22CA" w:rsidRPr="00A4399B" w:rsidRDefault="008E22CA" w:rsidP="008E22CA">
      <w:pPr>
        <w:pStyle w:val="ListParagraph"/>
        <w:ind w:left="0"/>
        <w:jc w:val="both"/>
        <w:rPr>
          <w:rFonts w:ascii="Arial" w:hAnsi="Arial" w:cs="Arial"/>
          <w:sz w:val="22"/>
          <w:szCs w:val="22"/>
        </w:rPr>
      </w:pPr>
    </w:p>
    <w:p w14:paraId="15B9C204" w14:textId="322AF06D" w:rsidR="00E47FE8" w:rsidRPr="001E52D2" w:rsidRDefault="001E52D2" w:rsidP="00451F18">
      <w:pPr>
        <w:tabs>
          <w:tab w:val="num" w:pos="0"/>
          <w:tab w:val="left" w:pos="567"/>
        </w:tabs>
        <w:jc w:val="both"/>
        <w:rPr>
          <w:rFonts w:ascii="Arial" w:hAnsi="Arial" w:cs="Arial"/>
          <w:sz w:val="22"/>
          <w:szCs w:val="22"/>
        </w:rPr>
      </w:pPr>
      <w:r>
        <w:rPr>
          <w:rFonts w:ascii="Arial" w:hAnsi="Arial" w:cs="Arial"/>
          <w:sz w:val="22"/>
          <w:szCs w:val="22"/>
        </w:rPr>
        <w:t>5</w:t>
      </w:r>
      <w:r w:rsidR="00451F18">
        <w:rPr>
          <w:rFonts w:ascii="Arial" w:hAnsi="Arial" w:cs="Arial"/>
          <w:sz w:val="22"/>
          <w:szCs w:val="22"/>
        </w:rPr>
        <w:t>3</w:t>
      </w:r>
      <w:r>
        <w:rPr>
          <w:rFonts w:ascii="Arial" w:hAnsi="Arial" w:cs="Arial"/>
          <w:sz w:val="22"/>
          <w:szCs w:val="22"/>
        </w:rPr>
        <w:t>.</w:t>
      </w:r>
      <w:r>
        <w:rPr>
          <w:rFonts w:ascii="Arial" w:hAnsi="Arial" w:cs="Arial"/>
          <w:sz w:val="22"/>
          <w:szCs w:val="22"/>
        </w:rPr>
        <w:tab/>
      </w:r>
      <w:r w:rsidR="008E22CA" w:rsidRPr="001E52D2">
        <w:rPr>
          <w:rFonts w:ascii="Arial" w:hAnsi="Arial" w:cs="Arial"/>
          <w:sz w:val="22"/>
          <w:szCs w:val="22"/>
        </w:rPr>
        <w:t xml:space="preserve">See </w:t>
      </w:r>
      <w:r w:rsidR="008E22CA" w:rsidRPr="007632E7">
        <w:rPr>
          <w:rFonts w:ascii="Arial" w:hAnsi="Arial" w:cs="Arial"/>
          <w:sz w:val="22"/>
          <w:szCs w:val="22"/>
        </w:rPr>
        <w:t xml:space="preserve">paragraph </w:t>
      </w:r>
      <w:r w:rsidR="007632E7" w:rsidRPr="007632E7">
        <w:rPr>
          <w:rFonts w:ascii="Arial" w:hAnsi="Arial" w:cs="Arial"/>
          <w:sz w:val="22"/>
          <w:szCs w:val="22"/>
        </w:rPr>
        <w:t>65</w:t>
      </w:r>
      <w:r w:rsidR="008E22CA" w:rsidRPr="007632E7">
        <w:rPr>
          <w:rFonts w:ascii="Arial" w:hAnsi="Arial" w:cs="Arial"/>
          <w:sz w:val="22"/>
          <w:szCs w:val="22"/>
        </w:rPr>
        <w:t xml:space="preserve"> </w:t>
      </w:r>
      <w:r w:rsidR="008E22CA" w:rsidRPr="001E52D2">
        <w:rPr>
          <w:rFonts w:ascii="Arial" w:hAnsi="Arial" w:cs="Arial"/>
          <w:sz w:val="22"/>
          <w:szCs w:val="22"/>
        </w:rPr>
        <w:t>below.</w:t>
      </w:r>
    </w:p>
    <w:p w14:paraId="033B79E8" w14:textId="77777777" w:rsidR="00F64D79" w:rsidRDefault="00F64D79" w:rsidP="006E360C">
      <w:pPr>
        <w:jc w:val="both"/>
        <w:rPr>
          <w:rFonts w:ascii="Arial" w:hAnsi="Arial" w:cs="Arial"/>
          <w:b/>
          <w:sz w:val="22"/>
          <w:szCs w:val="22"/>
        </w:rPr>
      </w:pPr>
    </w:p>
    <w:p w14:paraId="2550445C" w14:textId="39F1B3C1" w:rsidR="006E360C" w:rsidRPr="00A4399B" w:rsidRDefault="006F2446" w:rsidP="006E360C">
      <w:pPr>
        <w:jc w:val="both"/>
        <w:rPr>
          <w:rFonts w:ascii="Arial" w:hAnsi="Arial" w:cs="Arial"/>
          <w:b/>
          <w:sz w:val="22"/>
          <w:szCs w:val="22"/>
        </w:rPr>
      </w:pPr>
      <w:r>
        <w:rPr>
          <w:rFonts w:ascii="Arial" w:hAnsi="Arial" w:cs="Arial"/>
          <w:b/>
          <w:sz w:val="22"/>
          <w:szCs w:val="22"/>
        </w:rPr>
        <w:t>S</w:t>
      </w:r>
      <w:r w:rsidR="006E360C" w:rsidRPr="00A4399B">
        <w:rPr>
          <w:rFonts w:ascii="Arial" w:hAnsi="Arial" w:cs="Arial"/>
          <w:b/>
          <w:sz w:val="22"/>
          <w:szCs w:val="22"/>
        </w:rPr>
        <w:t>ection 4 accommodation on public health grounds</w:t>
      </w:r>
    </w:p>
    <w:p w14:paraId="135B4A14" w14:textId="77777777" w:rsidR="006E360C" w:rsidRPr="00A4399B" w:rsidRDefault="006E360C" w:rsidP="006E360C">
      <w:pPr>
        <w:jc w:val="both"/>
        <w:rPr>
          <w:rFonts w:ascii="Arial" w:hAnsi="Arial" w:cs="Arial"/>
          <w:b/>
          <w:i/>
          <w:sz w:val="22"/>
          <w:szCs w:val="22"/>
        </w:rPr>
      </w:pPr>
      <w:r w:rsidRPr="00A4399B">
        <w:rPr>
          <w:rFonts w:ascii="Arial" w:hAnsi="Arial" w:cs="Arial"/>
          <w:b/>
          <w:i/>
          <w:sz w:val="22"/>
          <w:szCs w:val="22"/>
        </w:rPr>
        <w:t>Does the current threat to public health mean that section 4 accommodation should be provided to the appellant?</w:t>
      </w:r>
    </w:p>
    <w:p w14:paraId="30358DC6" w14:textId="77777777" w:rsidR="006E360C" w:rsidRPr="00A4399B" w:rsidRDefault="006E360C" w:rsidP="006E360C">
      <w:pPr>
        <w:pStyle w:val="Default"/>
        <w:jc w:val="both"/>
        <w:rPr>
          <w:rFonts w:ascii="Arial Bold" w:hAnsi="Arial Bold" w:cs="Arial"/>
          <w:b/>
          <w:color w:val="auto"/>
          <w:sz w:val="22"/>
          <w:szCs w:val="22"/>
        </w:rPr>
      </w:pPr>
    </w:p>
    <w:p w14:paraId="710928ED" w14:textId="2A64967E" w:rsidR="006E360C" w:rsidRPr="001E52D2" w:rsidRDefault="001E52D2" w:rsidP="00451F18">
      <w:pPr>
        <w:tabs>
          <w:tab w:val="num" w:pos="0"/>
          <w:tab w:val="left" w:pos="567"/>
        </w:tabs>
        <w:jc w:val="both"/>
        <w:rPr>
          <w:rFonts w:ascii="Arial" w:hAnsi="Arial" w:cs="Arial"/>
          <w:sz w:val="22"/>
          <w:szCs w:val="22"/>
        </w:rPr>
      </w:pPr>
      <w:r>
        <w:rPr>
          <w:rFonts w:ascii="Arial" w:hAnsi="Arial" w:cs="Arial"/>
          <w:sz w:val="22"/>
          <w:szCs w:val="22"/>
        </w:rPr>
        <w:t>5</w:t>
      </w:r>
      <w:r w:rsidR="00451F18">
        <w:rPr>
          <w:rFonts w:ascii="Arial" w:hAnsi="Arial" w:cs="Arial"/>
          <w:sz w:val="22"/>
          <w:szCs w:val="22"/>
        </w:rPr>
        <w:t>4</w:t>
      </w:r>
      <w:r>
        <w:rPr>
          <w:rFonts w:ascii="Arial" w:hAnsi="Arial" w:cs="Arial"/>
          <w:sz w:val="22"/>
          <w:szCs w:val="22"/>
        </w:rPr>
        <w:t>.</w:t>
      </w:r>
      <w:r>
        <w:rPr>
          <w:rFonts w:ascii="Arial" w:hAnsi="Arial" w:cs="Arial"/>
          <w:sz w:val="22"/>
          <w:szCs w:val="22"/>
        </w:rPr>
        <w:tab/>
      </w:r>
      <w:r w:rsidR="006E360C" w:rsidRPr="001E52D2">
        <w:rPr>
          <w:rFonts w:ascii="Arial" w:hAnsi="Arial" w:cs="Arial"/>
          <w:sz w:val="22"/>
          <w:szCs w:val="22"/>
        </w:rPr>
        <w:t xml:space="preserve">See paragraph </w:t>
      </w:r>
      <w:r w:rsidR="007632E7" w:rsidRPr="007632E7">
        <w:rPr>
          <w:rFonts w:ascii="Arial" w:hAnsi="Arial" w:cs="Arial"/>
          <w:sz w:val="22"/>
          <w:szCs w:val="22"/>
        </w:rPr>
        <w:t>66</w:t>
      </w:r>
      <w:r w:rsidR="006E360C" w:rsidRPr="001E52D2">
        <w:rPr>
          <w:rFonts w:ascii="Arial" w:hAnsi="Arial" w:cs="Arial"/>
          <w:sz w:val="22"/>
          <w:szCs w:val="22"/>
        </w:rPr>
        <w:t xml:space="preserve"> below.</w:t>
      </w:r>
    </w:p>
    <w:p w14:paraId="4764F127" w14:textId="77777777" w:rsidR="006E4A44" w:rsidRPr="00A4399B" w:rsidRDefault="006E4A44" w:rsidP="006E4A44">
      <w:pPr>
        <w:pStyle w:val="Default"/>
        <w:jc w:val="both"/>
        <w:rPr>
          <w:rFonts w:ascii="Arial Bold" w:hAnsi="Arial Bold" w:cs="Arial"/>
          <w:b/>
          <w:color w:val="auto"/>
          <w:sz w:val="22"/>
          <w:szCs w:val="22"/>
        </w:rPr>
      </w:pPr>
      <w:r w:rsidRPr="00A4399B">
        <w:rPr>
          <w:rFonts w:ascii="Arial Bold" w:hAnsi="Arial Bold" w:cs="Arial"/>
          <w:b/>
          <w:color w:val="auto"/>
          <w:sz w:val="22"/>
          <w:szCs w:val="22"/>
        </w:rPr>
        <w:t>Articles 2, 3 and 8 ECHR</w:t>
      </w:r>
    </w:p>
    <w:p w14:paraId="06842D2E" w14:textId="77777777" w:rsidR="006E4A44" w:rsidRPr="00A4399B" w:rsidRDefault="006E4A44" w:rsidP="006E4A44">
      <w:pPr>
        <w:pStyle w:val="ListParagraph"/>
        <w:ind w:left="0"/>
        <w:jc w:val="both"/>
        <w:rPr>
          <w:rFonts w:ascii="Arial" w:hAnsi="Arial" w:cs="Arial"/>
          <w:b/>
          <w:sz w:val="22"/>
          <w:szCs w:val="22"/>
        </w:rPr>
      </w:pPr>
    </w:p>
    <w:p w14:paraId="4C04D388" w14:textId="23A05720" w:rsidR="006E4A44" w:rsidRPr="001E52D2" w:rsidRDefault="001E52D2" w:rsidP="00451F18">
      <w:pPr>
        <w:tabs>
          <w:tab w:val="num" w:pos="0"/>
          <w:tab w:val="left" w:pos="567"/>
        </w:tabs>
        <w:jc w:val="both"/>
        <w:rPr>
          <w:rFonts w:ascii="Arial" w:hAnsi="Arial" w:cs="Arial"/>
          <w:sz w:val="22"/>
          <w:szCs w:val="22"/>
        </w:rPr>
      </w:pPr>
      <w:r>
        <w:rPr>
          <w:rFonts w:ascii="Arial" w:hAnsi="Arial" w:cs="Arial"/>
          <w:sz w:val="22"/>
          <w:szCs w:val="22"/>
        </w:rPr>
        <w:t>5</w:t>
      </w:r>
      <w:r w:rsidR="00451F18">
        <w:rPr>
          <w:rFonts w:ascii="Arial" w:hAnsi="Arial" w:cs="Arial"/>
          <w:sz w:val="22"/>
          <w:szCs w:val="22"/>
        </w:rPr>
        <w:t>5</w:t>
      </w:r>
      <w:r>
        <w:rPr>
          <w:rFonts w:ascii="Arial" w:hAnsi="Arial" w:cs="Arial"/>
          <w:sz w:val="22"/>
          <w:szCs w:val="22"/>
        </w:rPr>
        <w:t>.</w:t>
      </w:r>
      <w:r>
        <w:rPr>
          <w:rFonts w:ascii="Arial" w:hAnsi="Arial" w:cs="Arial"/>
          <w:sz w:val="22"/>
          <w:szCs w:val="22"/>
        </w:rPr>
        <w:tab/>
      </w:r>
      <w:r w:rsidR="00DD6096" w:rsidRPr="001E52D2">
        <w:rPr>
          <w:rFonts w:ascii="Arial" w:hAnsi="Arial" w:cs="Arial"/>
          <w:sz w:val="22"/>
          <w:szCs w:val="22"/>
        </w:rPr>
        <w:t xml:space="preserve">Ms Idelbi cited cases of the Strasbourg Court laying down general principles governing the positive obligation on </w:t>
      </w:r>
      <w:r w:rsidR="00577EA4">
        <w:rPr>
          <w:rFonts w:ascii="Arial" w:hAnsi="Arial" w:cs="Arial"/>
          <w:sz w:val="22"/>
          <w:szCs w:val="22"/>
        </w:rPr>
        <w:t>S</w:t>
      </w:r>
      <w:r w:rsidR="00DD6096" w:rsidRPr="001E52D2">
        <w:rPr>
          <w:rFonts w:ascii="Arial" w:hAnsi="Arial" w:cs="Arial"/>
          <w:sz w:val="22"/>
          <w:szCs w:val="22"/>
        </w:rPr>
        <w:t xml:space="preserve">tates when determining breaches of </w:t>
      </w:r>
      <w:r w:rsidR="004B7872" w:rsidRPr="001E52D2">
        <w:rPr>
          <w:rFonts w:ascii="Arial" w:hAnsi="Arial" w:cs="Arial"/>
          <w:sz w:val="22"/>
          <w:szCs w:val="22"/>
        </w:rPr>
        <w:t>A</w:t>
      </w:r>
      <w:r w:rsidR="00DD6096" w:rsidRPr="001E52D2">
        <w:rPr>
          <w:rFonts w:ascii="Arial" w:hAnsi="Arial" w:cs="Arial"/>
          <w:sz w:val="22"/>
          <w:szCs w:val="22"/>
        </w:rPr>
        <w:t>rticles 2,</w:t>
      </w:r>
      <w:r w:rsidR="00C66FA4" w:rsidRPr="001E52D2">
        <w:rPr>
          <w:rFonts w:ascii="Arial" w:hAnsi="Arial" w:cs="Arial"/>
          <w:sz w:val="22"/>
          <w:szCs w:val="22"/>
        </w:rPr>
        <w:t xml:space="preserve"> </w:t>
      </w:r>
      <w:r w:rsidR="00DD6096" w:rsidRPr="001E52D2">
        <w:rPr>
          <w:rFonts w:ascii="Arial" w:hAnsi="Arial" w:cs="Arial"/>
          <w:sz w:val="22"/>
          <w:szCs w:val="22"/>
        </w:rPr>
        <w:t>3 and 8 ECHR arising out of the unlawful conduct of a third party</w:t>
      </w:r>
      <w:r w:rsidR="004D51B8" w:rsidRPr="001E52D2">
        <w:rPr>
          <w:rFonts w:ascii="Arial" w:hAnsi="Arial" w:cs="Arial"/>
          <w:sz w:val="22"/>
          <w:szCs w:val="22"/>
        </w:rPr>
        <w:t xml:space="preserve">. </w:t>
      </w:r>
      <w:r w:rsidR="00464538" w:rsidRPr="001E52D2">
        <w:rPr>
          <w:rFonts w:ascii="Arial" w:hAnsi="Arial" w:cs="Arial"/>
          <w:sz w:val="22"/>
          <w:szCs w:val="22"/>
        </w:rPr>
        <w:t xml:space="preserve">In </w:t>
      </w:r>
      <w:r w:rsidR="00DD6096" w:rsidRPr="001E52D2">
        <w:rPr>
          <w:rFonts w:ascii="Arial" w:hAnsi="Arial" w:cs="Arial"/>
          <w:i/>
          <w:iCs/>
          <w:sz w:val="22"/>
          <w:szCs w:val="22"/>
        </w:rPr>
        <w:t>Osman v UK</w:t>
      </w:r>
      <w:r w:rsidR="00C66FA4" w:rsidRPr="001E52D2">
        <w:rPr>
          <w:rFonts w:ascii="Arial" w:hAnsi="Arial" w:cs="Arial"/>
          <w:sz w:val="22"/>
          <w:szCs w:val="22"/>
        </w:rPr>
        <w:t xml:space="preserve"> </w:t>
      </w:r>
      <w:r w:rsidR="00DD6096" w:rsidRPr="001E52D2">
        <w:rPr>
          <w:rFonts w:ascii="Arial" w:hAnsi="Arial" w:cs="Arial"/>
          <w:sz w:val="22"/>
          <w:szCs w:val="22"/>
        </w:rPr>
        <w:t xml:space="preserve">[1989] 29 EHRR 245 </w:t>
      </w:r>
      <w:r w:rsidR="00165453" w:rsidRPr="001E52D2">
        <w:rPr>
          <w:rFonts w:ascii="Arial" w:hAnsi="Arial" w:cs="Arial"/>
          <w:sz w:val="22"/>
          <w:szCs w:val="22"/>
        </w:rPr>
        <w:t>[</w:t>
      </w:r>
      <w:r w:rsidR="00DD6096" w:rsidRPr="001E52D2">
        <w:rPr>
          <w:rFonts w:ascii="Arial" w:hAnsi="Arial" w:cs="Arial"/>
          <w:sz w:val="22"/>
          <w:szCs w:val="22"/>
        </w:rPr>
        <w:t>at 116</w:t>
      </w:r>
      <w:r w:rsidR="00165453" w:rsidRPr="001E52D2">
        <w:rPr>
          <w:rFonts w:ascii="Arial" w:hAnsi="Arial" w:cs="Arial"/>
          <w:sz w:val="22"/>
          <w:szCs w:val="22"/>
        </w:rPr>
        <w:t>]</w:t>
      </w:r>
      <w:r w:rsidR="00B31BAD" w:rsidRPr="001E52D2">
        <w:rPr>
          <w:rFonts w:ascii="Arial" w:hAnsi="Arial" w:cs="Arial"/>
          <w:sz w:val="22"/>
          <w:szCs w:val="22"/>
        </w:rPr>
        <w:t xml:space="preserve"> the Strasbourg</w:t>
      </w:r>
      <w:r w:rsidR="00563867" w:rsidRPr="001E52D2">
        <w:rPr>
          <w:rFonts w:ascii="Arial" w:hAnsi="Arial" w:cs="Arial"/>
          <w:sz w:val="22"/>
          <w:szCs w:val="22"/>
        </w:rPr>
        <w:t xml:space="preserve"> Court held that the correct test to be applied when determining potential breaches of Articles</w:t>
      </w:r>
      <w:r w:rsidR="007275DA" w:rsidRPr="001E52D2">
        <w:rPr>
          <w:rFonts w:ascii="Arial" w:hAnsi="Arial" w:cs="Arial"/>
          <w:sz w:val="22"/>
          <w:szCs w:val="22"/>
        </w:rPr>
        <w:t xml:space="preserve"> 2, 3 and 8 </w:t>
      </w:r>
      <w:r w:rsidR="00C5202A" w:rsidRPr="001E52D2">
        <w:rPr>
          <w:rFonts w:ascii="Arial" w:hAnsi="Arial" w:cs="Arial"/>
          <w:sz w:val="22"/>
          <w:szCs w:val="22"/>
        </w:rPr>
        <w:t>r</w:t>
      </w:r>
      <w:r w:rsidR="00912165" w:rsidRPr="001E52D2">
        <w:rPr>
          <w:rFonts w:ascii="Arial" w:hAnsi="Arial" w:cs="Arial"/>
          <w:sz w:val="22"/>
          <w:szCs w:val="22"/>
        </w:rPr>
        <w:t>equired</w:t>
      </w:r>
      <w:r w:rsidR="00C5202A" w:rsidRPr="001E52D2">
        <w:rPr>
          <w:rFonts w:ascii="Arial" w:hAnsi="Arial" w:cs="Arial"/>
          <w:sz w:val="22"/>
          <w:szCs w:val="22"/>
        </w:rPr>
        <w:t xml:space="preserve"> </w:t>
      </w:r>
      <w:r w:rsidR="000306B1" w:rsidRPr="001E52D2">
        <w:rPr>
          <w:rFonts w:ascii="Arial" w:hAnsi="Arial" w:cs="Arial"/>
          <w:sz w:val="22"/>
          <w:szCs w:val="22"/>
        </w:rPr>
        <w:t xml:space="preserve">the claimant to </w:t>
      </w:r>
      <w:r w:rsidR="00C5202A" w:rsidRPr="001E52D2">
        <w:rPr>
          <w:rFonts w:ascii="Arial" w:hAnsi="Arial" w:cs="Arial"/>
          <w:sz w:val="22"/>
          <w:szCs w:val="22"/>
        </w:rPr>
        <w:t>establish</w:t>
      </w:r>
      <w:r w:rsidR="000306B1" w:rsidRPr="001E52D2">
        <w:rPr>
          <w:rFonts w:ascii="Arial" w:hAnsi="Arial" w:cs="Arial"/>
          <w:sz w:val="22"/>
          <w:szCs w:val="22"/>
        </w:rPr>
        <w:t xml:space="preserve"> to the Court’s satisfaction</w:t>
      </w:r>
      <w:r w:rsidR="00D57F2F" w:rsidRPr="001E52D2">
        <w:rPr>
          <w:rFonts w:ascii="Arial" w:hAnsi="Arial" w:cs="Arial"/>
          <w:sz w:val="22"/>
          <w:szCs w:val="22"/>
        </w:rPr>
        <w:t xml:space="preserve"> that the </w:t>
      </w:r>
      <w:r w:rsidR="00F359A2" w:rsidRPr="001E52D2">
        <w:rPr>
          <w:rFonts w:ascii="Arial" w:hAnsi="Arial" w:cs="Arial"/>
          <w:sz w:val="22"/>
          <w:szCs w:val="22"/>
        </w:rPr>
        <w:t>s</w:t>
      </w:r>
      <w:r w:rsidR="00D57F2F" w:rsidRPr="001E52D2">
        <w:rPr>
          <w:rFonts w:ascii="Arial" w:hAnsi="Arial" w:cs="Arial"/>
          <w:sz w:val="22"/>
          <w:szCs w:val="22"/>
        </w:rPr>
        <w:t xml:space="preserve">tate </w:t>
      </w:r>
      <w:r w:rsidR="00F91788" w:rsidRPr="001E52D2">
        <w:rPr>
          <w:rFonts w:ascii="Arial" w:hAnsi="Arial" w:cs="Arial"/>
          <w:sz w:val="22"/>
          <w:szCs w:val="22"/>
        </w:rPr>
        <w:t>knew or ought to have known at the time of the existence of a real and immediate risk to life and that they failed to take measures within the scope of their powers which, judged reasonably, might have been expected to avoid that risk” (at paragraph 116).</w:t>
      </w:r>
      <w:r w:rsidR="006911DD" w:rsidRPr="001E52D2">
        <w:rPr>
          <w:rFonts w:ascii="Arial" w:hAnsi="Arial" w:cs="Arial"/>
          <w:sz w:val="22"/>
          <w:szCs w:val="22"/>
        </w:rPr>
        <w:t xml:space="preserve"> Th</w:t>
      </w:r>
      <w:r w:rsidR="005E133D" w:rsidRPr="001E52D2">
        <w:rPr>
          <w:rFonts w:ascii="Arial" w:hAnsi="Arial" w:cs="Arial"/>
          <w:sz w:val="22"/>
          <w:szCs w:val="22"/>
        </w:rPr>
        <w:t xml:space="preserve">e test, </w:t>
      </w:r>
      <w:r w:rsidR="004A270A" w:rsidRPr="001E52D2">
        <w:rPr>
          <w:rFonts w:ascii="Arial" w:hAnsi="Arial" w:cs="Arial"/>
          <w:sz w:val="22"/>
          <w:szCs w:val="22"/>
        </w:rPr>
        <w:t>said Ms Idelbi, is a stringent one</w:t>
      </w:r>
      <w:r w:rsidR="00925CAB" w:rsidRPr="001E52D2">
        <w:rPr>
          <w:rFonts w:ascii="Arial" w:hAnsi="Arial" w:cs="Arial"/>
          <w:sz w:val="22"/>
          <w:szCs w:val="22"/>
        </w:rPr>
        <w:t xml:space="preserve"> which will not be easily satisfied (</w:t>
      </w:r>
      <w:r w:rsidR="00CB69F2" w:rsidRPr="001E52D2">
        <w:rPr>
          <w:rFonts w:ascii="Arial" w:hAnsi="Arial" w:cs="Arial"/>
          <w:sz w:val="22"/>
          <w:szCs w:val="22"/>
        </w:rPr>
        <w:t xml:space="preserve">see </w:t>
      </w:r>
      <w:r w:rsidR="00925CAB" w:rsidRPr="001E52D2">
        <w:rPr>
          <w:rFonts w:ascii="Arial" w:hAnsi="Arial" w:cs="Arial"/>
          <w:i/>
          <w:iCs/>
          <w:sz w:val="22"/>
          <w:szCs w:val="22"/>
        </w:rPr>
        <w:t xml:space="preserve">Cevrioglu v Turkey </w:t>
      </w:r>
      <w:r w:rsidR="00925CAB" w:rsidRPr="001E52D2">
        <w:rPr>
          <w:rFonts w:ascii="Arial" w:hAnsi="Arial" w:cs="Arial"/>
          <w:sz w:val="22"/>
          <w:szCs w:val="22"/>
        </w:rPr>
        <w:t>(app.no.69546/12) [at 50])</w:t>
      </w:r>
      <w:r w:rsidR="00C40542" w:rsidRPr="001E52D2">
        <w:rPr>
          <w:rFonts w:ascii="Arial" w:hAnsi="Arial" w:cs="Arial"/>
          <w:sz w:val="22"/>
          <w:szCs w:val="22"/>
        </w:rPr>
        <w:t xml:space="preserve">. </w:t>
      </w:r>
      <w:r w:rsidR="007E4B7F" w:rsidRPr="001E52D2">
        <w:rPr>
          <w:rFonts w:ascii="Arial" w:hAnsi="Arial" w:cs="Arial"/>
          <w:sz w:val="22"/>
          <w:szCs w:val="22"/>
        </w:rPr>
        <w:t xml:space="preserve">However, an impossible and disproportionate burden must not be imposed on </w:t>
      </w:r>
      <w:r w:rsidR="00577EA4">
        <w:rPr>
          <w:rFonts w:ascii="Arial" w:hAnsi="Arial" w:cs="Arial"/>
          <w:sz w:val="22"/>
          <w:szCs w:val="22"/>
        </w:rPr>
        <w:t>S</w:t>
      </w:r>
      <w:r w:rsidR="007E4B7F" w:rsidRPr="001E52D2">
        <w:rPr>
          <w:rFonts w:ascii="Arial" w:hAnsi="Arial" w:cs="Arial"/>
          <w:sz w:val="22"/>
          <w:szCs w:val="22"/>
        </w:rPr>
        <w:t>tate</w:t>
      </w:r>
      <w:r w:rsidR="00EC112E" w:rsidRPr="001E52D2">
        <w:rPr>
          <w:rFonts w:ascii="Arial" w:hAnsi="Arial" w:cs="Arial"/>
          <w:sz w:val="22"/>
          <w:szCs w:val="22"/>
        </w:rPr>
        <w:t>s</w:t>
      </w:r>
      <w:r w:rsidR="005C4F2A" w:rsidRPr="001E52D2">
        <w:rPr>
          <w:rFonts w:ascii="Arial" w:hAnsi="Arial" w:cs="Arial"/>
          <w:sz w:val="22"/>
          <w:szCs w:val="22"/>
        </w:rPr>
        <w:t xml:space="preserve"> without consideration being given, in particular, to the operational choices which they must make in terms of priorities and resources</w:t>
      </w:r>
      <w:r w:rsidR="00CD13F4" w:rsidRPr="001E52D2">
        <w:rPr>
          <w:rFonts w:ascii="Arial" w:hAnsi="Arial" w:cs="Arial"/>
          <w:sz w:val="22"/>
          <w:szCs w:val="22"/>
        </w:rPr>
        <w:t>.</w:t>
      </w:r>
      <w:r w:rsidR="008824DF" w:rsidRPr="001E52D2">
        <w:rPr>
          <w:rFonts w:ascii="Arial" w:hAnsi="Arial" w:cs="Arial"/>
          <w:sz w:val="22"/>
          <w:szCs w:val="22"/>
        </w:rPr>
        <w:t xml:space="preserve"> </w:t>
      </w:r>
      <w:r w:rsidR="00CB69F2" w:rsidRPr="001E52D2">
        <w:rPr>
          <w:rFonts w:ascii="Arial" w:hAnsi="Arial" w:cs="Arial"/>
          <w:sz w:val="22"/>
          <w:szCs w:val="22"/>
        </w:rPr>
        <w:t>(see</w:t>
      </w:r>
      <w:r w:rsidR="00CA3DC1" w:rsidRPr="001E52D2">
        <w:rPr>
          <w:rFonts w:ascii="Arial" w:hAnsi="Arial" w:cs="Arial"/>
          <w:sz w:val="22"/>
          <w:szCs w:val="22"/>
        </w:rPr>
        <w:t xml:space="preserve"> </w:t>
      </w:r>
      <w:r w:rsidR="008824DF" w:rsidRPr="001E52D2">
        <w:rPr>
          <w:rFonts w:ascii="Arial" w:hAnsi="Arial" w:cs="Arial"/>
          <w:i/>
          <w:iCs/>
          <w:sz w:val="22"/>
          <w:szCs w:val="22"/>
        </w:rPr>
        <w:t>Vilnes and Others v Norway</w:t>
      </w:r>
      <w:r w:rsidR="008824DF" w:rsidRPr="001E52D2">
        <w:rPr>
          <w:rFonts w:ascii="Arial" w:hAnsi="Arial" w:cs="Arial"/>
          <w:sz w:val="22"/>
          <w:szCs w:val="22"/>
        </w:rPr>
        <w:t xml:space="preserve"> </w:t>
      </w:r>
      <w:r w:rsidR="00CA3DC1" w:rsidRPr="001E52D2">
        <w:rPr>
          <w:rFonts w:ascii="Arial" w:hAnsi="Arial" w:cs="Arial"/>
          <w:sz w:val="22"/>
          <w:szCs w:val="22"/>
        </w:rPr>
        <w:t xml:space="preserve">[at 220]. </w:t>
      </w:r>
      <w:r w:rsidR="008824DF" w:rsidRPr="001E52D2">
        <w:rPr>
          <w:rFonts w:ascii="Arial" w:hAnsi="Arial" w:cs="Arial"/>
          <w:sz w:val="22"/>
          <w:szCs w:val="22"/>
        </w:rPr>
        <w:t>(app.nos 52806/09 and 22703/10)</w:t>
      </w:r>
      <w:r w:rsidR="00CA3DC1" w:rsidRPr="001E52D2">
        <w:rPr>
          <w:rFonts w:ascii="Arial" w:hAnsi="Arial" w:cs="Arial"/>
          <w:sz w:val="22"/>
          <w:szCs w:val="22"/>
        </w:rPr>
        <w:t>).</w:t>
      </w:r>
    </w:p>
    <w:p w14:paraId="14AE97B4" w14:textId="77777777" w:rsidR="006E4A44" w:rsidRPr="00A4399B" w:rsidRDefault="006E4A44" w:rsidP="006E4A44">
      <w:pPr>
        <w:pStyle w:val="ListParagraph"/>
        <w:ind w:left="0"/>
        <w:jc w:val="both"/>
        <w:rPr>
          <w:rFonts w:ascii="Arial" w:hAnsi="Arial" w:cs="Arial"/>
          <w:sz w:val="22"/>
          <w:szCs w:val="22"/>
        </w:rPr>
      </w:pPr>
    </w:p>
    <w:p w14:paraId="0220B136" w14:textId="57867AEA" w:rsidR="006E4A44" w:rsidRPr="001E52D2" w:rsidRDefault="001E52D2" w:rsidP="00451F18">
      <w:pPr>
        <w:tabs>
          <w:tab w:val="num" w:pos="0"/>
          <w:tab w:val="left" w:pos="567"/>
        </w:tabs>
        <w:jc w:val="both"/>
        <w:rPr>
          <w:rFonts w:ascii="Arial" w:hAnsi="Arial" w:cs="Arial"/>
          <w:sz w:val="22"/>
          <w:szCs w:val="22"/>
        </w:rPr>
      </w:pPr>
      <w:r>
        <w:rPr>
          <w:rFonts w:ascii="Arial" w:hAnsi="Arial" w:cs="Arial"/>
          <w:sz w:val="22"/>
          <w:szCs w:val="22"/>
        </w:rPr>
        <w:t>5</w:t>
      </w:r>
      <w:r w:rsidR="00451F18">
        <w:rPr>
          <w:rFonts w:ascii="Arial" w:hAnsi="Arial" w:cs="Arial"/>
          <w:sz w:val="22"/>
          <w:szCs w:val="22"/>
        </w:rPr>
        <w:t>6</w:t>
      </w:r>
      <w:r>
        <w:rPr>
          <w:rFonts w:ascii="Arial" w:hAnsi="Arial" w:cs="Arial"/>
          <w:sz w:val="22"/>
          <w:szCs w:val="22"/>
        </w:rPr>
        <w:t>.</w:t>
      </w:r>
      <w:r>
        <w:rPr>
          <w:rFonts w:ascii="Arial" w:hAnsi="Arial" w:cs="Arial"/>
          <w:sz w:val="22"/>
          <w:szCs w:val="22"/>
        </w:rPr>
        <w:tab/>
      </w:r>
      <w:r w:rsidR="00752DD7" w:rsidRPr="001E52D2">
        <w:rPr>
          <w:rFonts w:ascii="Arial" w:hAnsi="Arial" w:cs="Arial"/>
          <w:sz w:val="22"/>
          <w:szCs w:val="22"/>
        </w:rPr>
        <w:t>In Ms Idelbi’s submission</w:t>
      </w:r>
      <w:r w:rsidR="00A92243" w:rsidRPr="001E52D2">
        <w:rPr>
          <w:rFonts w:ascii="Arial" w:hAnsi="Arial" w:cs="Arial"/>
          <w:sz w:val="22"/>
          <w:szCs w:val="22"/>
        </w:rPr>
        <w:t xml:space="preserve">, the refusal of support to </w:t>
      </w:r>
      <w:r w:rsidR="005B623B" w:rsidRPr="00A4399B">
        <w:rPr>
          <w:rFonts w:ascii="Arial" w:hAnsi="Arial" w:cs="Arial"/>
          <w:sz w:val="22"/>
          <w:szCs w:val="22"/>
        </w:rPr>
        <w:t xml:space="preserve">the appellant </w:t>
      </w:r>
      <w:r w:rsidR="00A92243" w:rsidRPr="001E52D2">
        <w:rPr>
          <w:rFonts w:ascii="Arial" w:hAnsi="Arial" w:cs="Arial"/>
          <w:sz w:val="22"/>
          <w:szCs w:val="22"/>
        </w:rPr>
        <w:t>is not inherently dangerous</w:t>
      </w:r>
      <w:r w:rsidR="001B0C77" w:rsidRPr="001E52D2">
        <w:rPr>
          <w:rFonts w:ascii="Arial" w:hAnsi="Arial" w:cs="Arial"/>
          <w:sz w:val="22"/>
          <w:szCs w:val="22"/>
        </w:rPr>
        <w:t xml:space="preserve"> to the general public as the risk relied on by him </w:t>
      </w:r>
      <w:r w:rsidR="0091275F">
        <w:rPr>
          <w:rFonts w:ascii="Arial" w:hAnsi="Arial" w:cs="Arial"/>
          <w:sz w:val="22"/>
          <w:szCs w:val="22"/>
        </w:rPr>
        <w:t>wa</w:t>
      </w:r>
      <w:r w:rsidR="001B0C77" w:rsidRPr="001E52D2">
        <w:rPr>
          <w:rFonts w:ascii="Arial" w:hAnsi="Arial" w:cs="Arial"/>
          <w:sz w:val="22"/>
          <w:szCs w:val="22"/>
        </w:rPr>
        <w:t>s too remote</w:t>
      </w:r>
      <w:r w:rsidR="0080547B" w:rsidRPr="001E52D2">
        <w:rPr>
          <w:rFonts w:ascii="Arial" w:hAnsi="Arial" w:cs="Arial"/>
          <w:sz w:val="22"/>
          <w:szCs w:val="22"/>
        </w:rPr>
        <w:t>. In her opinion, there is insufficient evidence to establish a positive obligation under Articles 2, 3 and 8.</w:t>
      </w:r>
    </w:p>
    <w:p w14:paraId="626081B0" w14:textId="77777777" w:rsidR="006E4A44" w:rsidRPr="00A4399B" w:rsidRDefault="006E4A44" w:rsidP="006E4A44">
      <w:pPr>
        <w:pStyle w:val="ListParagraph"/>
        <w:ind w:left="0"/>
        <w:jc w:val="both"/>
        <w:rPr>
          <w:rFonts w:ascii="Arial" w:hAnsi="Arial" w:cs="Arial"/>
          <w:sz w:val="22"/>
          <w:szCs w:val="22"/>
        </w:rPr>
      </w:pPr>
    </w:p>
    <w:p w14:paraId="34B880D8" w14:textId="3538E03F" w:rsidR="008B4F1E" w:rsidRDefault="001E52D2" w:rsidP="00451F18">
      <w:pPr>
        <w:tabs>
          <w:tab w:val="num" w:pos="0"/>
          <w:tab w:val="left" w:pos="567"/>
        </w:tabs>
        <w:jc w:val="both"/>
        <w:rPr>
          <w:rFonts w:ascii="Arial" w:hAnsi="Arial" w:cs="Arial"/>
          <w:sz w:val="22"/>
          <w:szCs w:val="22"/>
        </w:rPr>
      </w:pPr>
      <w:r>
        <w:rPr>
          <w:rFonts w:ascii="Arial" w:hAnsi="Arial" w:cs="Arial"/>
          <w:sz w:val="22"/>
          <w:szCs w:val="22"/>
        </w:rPr>
        <w:t>5</w:t>
      </w:r>
      <w:r w:rsidR="00451F18">
        <w:rPr>
          <w:rFonts w:ascii="Arial" w:hAnsi="Arial" w:cs="Arial"/>
          <w:sz w:val="22"/>
          <w:szCs w:val="22"/>
        </w:rPr>
        <w:t>7</w:t>
      </w:r>
      <w:r>
        <w:rPr>
          <w:rFonts w:ascii="Arial" w:hAnsi="Arial" w:cs="Arial"/>
          <w:sz w:val="22"/>
          <w:szCs w:val="22"/>
        </w:rPr>
        <w:t>.</w:t>
      </w:r>
      <w:r>
        <w:rPr>
          <w:rFonts w:ascii="Arial" w:hAnsi="Arial" w:cs="Arial"/>
          <w:sz w:val="22"/>
          <w:szCs w:val="22"/>
        </w:rPr>
        <w:tab/>
      </w:r>
      <w:r w:rsidR="00990220" w:rsidRPr="001E52D2">
        <w:rPr>
          <w:rFonts w:ascii="Arial" w:hAnsi="Arial" w:cs="Arial"/>
          <w:sz w:val="22"/>
          <w:szCs w:val="22"/>
        </w:rPr>
        <w:t>I do not consider that these authorities assist the respondent’s case.</w:t>
      </w:r>
      <w:r w:rsidR="00D84611" w:rsidRPr="001E52D2">
        <w:rPr>
          <w:rFonts w:ascii="Arial" w:hAnsi="Arial" w:cs="Arial"/>
          <w:sz w:val="22"/>
          <w:szCs w:val="22"/>
        </w:rPr>
        <w:t xml:space="preserve"> </w:t>
      </w:r>
      <w:r w:rsidR="002774E6" w:rsidRPr="001E52D2">
        <w:rPr>
          <w:rFonts w:ascii="Arial" w:hAnsi="Arial" w:cs="Arial"/>
          <w:sz w:val="22"/>
          <w:szCs w:val="22"/>
        </w:rPr>
        <w:t>During the last 12 months</w:t>
      </w:r>
      <w:r w:rsidR="00E92BF3" w:rsidRPr="001E52D2">
        <w:rPr>
          <w:rFonts w:ascii="Arial" w:hAnsi="Arial" w:cs="Arial"/>
          <w:sz w:val="22"/>
          <w:szCs w:val="22"/>
        </w:rPr>
        <w:t>, the UK has been in lockdown on three occasions</w:t>
      </w:r>
      <w:r w:rsidR="00AA4DDD" w:rsidRPr="001E52D2">
        <w:rPr>
          <w:rFonts w:ascii="Arial" w:hAnsi="Arial" w:cs="Arial"/>
          <w:sz w:val="22"/>
          <w:szCs w:val="22"/>
        </w:rPr>
        <w:t>. The first from March – July 2020; the second</w:t>
      </w:r>
      <w:r w:rsidR="007D1280" w:rsidRPr="001E52D2">
        <w:rPr>
          <w:rFonts w:ascii="Arial" w:hAnsi="Arial" w:cs="Arial"/>
          <w:sz w:val="22"/>
          <w:szCs w:val="22"/>
        </w:rPr>
        <w:t xml:space="preserve"> from November </w:t>
      </w:r>
      <w:r w:rsidR="00C26926" w:rsidRPr="001E52D2">
        <w:rPr>
          <w:rFonts w:ascii="Arial" w:hAnsi="Arial" w:cs="Arial"/>
          <w:sz w:val="22"/>
          <w:szCs w:val="22"/>
        </w:rPr>
        <w:t>–</w:t>
      </w:r>
      <w:r w:rsidR="007D1280" w:rsidRPr="001E52D2">
        <w:rPr>
          <w:rFonts w:ascii="Arial" w:hAnsi="Arial" w:cs="Arial"/>
          <w:sz w:val="22"/>
          <w:szCs w:val="22"/>
        </w:rPr>
        <w:t xml:space="preserve"> D</w:t>
      </w:r>
      <w:r w:rsidR="00C26926" w:rsidRPr="001E52D2">
        <w:rPr>
          <w:rFonts w:ascii="Arial" w:hAnsi="Arial" w:cs="Arial"/>
          <w:sz w:val="22"/>
          <w:szCs w:val="22"/>
        </w:rPr>
        <w:t xml:space="preserve">ecember 2020; and the third from January 2021 </w:t>
      </w:r>
      <w:r w:rsidR="00E215B1" w:rsidRPr="001E52D2">
        <w:rPr>
          <w:rFonts w:ascii="Arial" w:hAnsi="Arial" w:cs="Arial"/>
          <w:sz w:val="22"/>
          <w:szCs w:val="22"/>
        </w:rPr>
        <w:t>and continuing</w:t>
      </w:r>
      <w:r w:rsidR="00AF058C" w:rsidRPr="001E52D2">
        <w:rPr>
          <w:rFonts w:ascii="Arial" w:hAnsi="Arial" w:cs="Arial"/>
          <w:sz w:val="22"/>
          <w:szCs w:val="22"/>
        </w:rPr>
        <w:t>.</w:t>
      </w:r>
      <w:r w:rsidR="00C26926" w:rsidRPr="001E52D2">
        <w:rPr>
          <w:rFonts w:ascii="Arial" w:hAnsi="Arial" w:cs="Arial"/>
          <w:sz w:val="22"/>
          <w:szCs w:val="22"/>
        </w:rPr>
        <w:t xml:space="preserve"> On each occasion, the</w:t>
      </w:r>
      <w:r w:rsidR="00AF058C" w:rsidRPr="001E52D2">
        <w:rPr>
          <w:rFonts w:ascii="Arial" w:hAnsi="Arial" w:cs="Arial"/>
          <w:sz w:val="22"/>
          <w:szCs w:val="22"/>
        </w:rPr>
        <w:t xml:space="preserve"> UK Government </w:t>
      </w:r>
      <w:r w:rsidR="003D2295" w:rsidRPr="001E52D2">
        <w:rPr>
          <w:rFonts w:ascii="Arial" w:hAnsi="Arial" w:cs="Arial"/>
          <w:sz w:val="22"/>
          <w:szCs w:val="22"/>
        </w:rPr>
        <w:t xml:space="preserve">has </w:t>
      </w:r>
      <w:r w:rsidR="00AF058C" w:rsidRPr="001E52D2">
        <w:rPr>
          <w:rFonts w:ascii="Arial" w:hAnsi="Arial" w:cs="Arial"/>
          <w:sz w:val="22"/>
          <w:szCs w:val="22"/>
        </w:rPr>
        <w:t>felt compelled to take drastic measures</w:t>
      </w:r>
      <w:r w:rsidR="00DB6BFD" w:rsidRPr="001E52D2">
        <w:rPr>
          <w:rFonts w:ascii="Arial" w:hAnsi="Arial" w:cs="Arial"/>
          <w:sz w:val="22"/>
          <w:szCs w:val="22"/>
        </w:rPr>
        <w:t xml:space="preserve"> in the face of </w:t>
      </w:r>
      <w:bookmarkStart w:id="18" w:name="_Hlk70640132"/>
      <w:r w:rsidR="00D44CFA">
        <w:rPr>
          <w:rFonts w:ascii="Arial" w:hAnsi="Arial" w:cs="Arial"/>
          <w:sz w:val="22"/>
          <w:szCs w:val="22"/>
        </w:rPr>
        <w:t xml:space="preserve">what it perceives as </w:t>
      </w:r>
      <w:r w:rsidR="00DB6BFD" w:rsidRPr="001E52D2">
        <w:rPr>
          <w:rFonts w:ascii="Arial" w:hAnsi="Arial" w:cs="Arial"/>
          <w:sz w:val="22"/>
          <w:szCs w:val="22"/>
        </w:rPr>
        <w:t>a</w:t>
      </w:r>
      <w:r w:rsidR="0091275F">
        <w:rPr>
          <w:rFonts w:ascii="Arial" w:hAnsi="Arial" w:cs="Arial"/>
          <w:sz w:val="22"/>
          <w:szCs w:val="22"/>
        </w:rPr>
        <w:t xml:space="preserve"> real and</w:t>
      </w:r>
      <w:r w:rsidR="00DB6BFD" w:rsidRPr="001E52D2">
        <w:rPr>
          <w:rFonts w:ascii="Arial" w:hAnsi="Arial" w:cs="Arial"/>
          <w:sz w:val="22"/>
          <w:szCs w:val="22"/>
        </w:rPr>
        <w:t xml:space="preserve"> immediate risk </w:t>
      </w:r>
      <w:bookmarkEnd w:id="18"/>
      <w:r w:rsidR="00120431" w:rsidRPr="001E52D2">
        <w:rPr>
          <w:rFonts w:ascii="Arial" w:hAnsi="Arial" w:cs="Arial"/>
          <w:sz w:val="22"/>
          <w:szCs w:val="22"/>
        </w:rPr>
        <w:t xml:space="preserve">to life </w:t>
      </w:r>
      <w:r w:rsidR="00DB6BFD" w:rsidRPr="001E52D2">
        <w:rPr>
          <w:rFonts w:ascii="Arial" w:hAnsi="Arial" w:cs="Arial"/>
          <w:sz w:val="22"/>
          <w:szCs w:val="22"/>
        </w:rPr>
        <w:t>from COVID-19</w:t>
      </w:r>
      <w:r w:rsidR="00120431" w:rsidRPr="001E52D2">
        <w:rPr>
          <w:rFonts w:ascii="Arial" w:hAnsi="Arial" w:cs="Arial"/>
          <w:sz w:val="22"/>
          <w:szCs w:val="22"/>
        </w:rPr>
        <w:t xml:space="preserve"> and the message conveyed nationally to </w:t>
      </w:r>
      <w:r w:rsidR="00D716BB" w:rsidRPr="001E52D2">
        <w:rPr>
          <w:rFonts w:ascii="Arial" w:hAnsi="Arial" w:cs="Arial"/>
          <w:sz w:val="22"/>
          <w:szCs w:val="22"/>
        </w:rPr>
        <w:t>everyone who reside</w:t>
      </w:r>
      <w:r w:rsidR="004A11D9" w:rsidRPr="001E52D2">
        <w:rPr>
          <w:rFonts w:ascii="Arial" w:hAnsi="Arial" w:cs="Arial"/>
          <w:sz w:val="22"/>
          <w:szCs w:val="22"/>
        </w:rPr>
        <w:t>s</w:t>
      </w:r>
      <w:r w:rsidR="00D716BB" w:rsidRPr="001E52D2">
        <w:rPr>
          <w:rFonts w:ascii="Arial" w:hAnsi="Arial" w:cs="Arial"/>
          <w:sz w:val="22"/>
          <w:szCs w:val="22"/>
        </w:rPr>
        <w:t xml:space="preserve"> in the territory of the </w:t>
      </w:r>
      <w:r w:rsidR="0091275F">
        <w:rPr>
          <w:rFonts w:ascii="Arial" w:hAnsi="Arial" w:cs="Arial"/>
          <w:sz w:val="22"/>
          <w:szCs w:val="22"/>
        </w:rPr>
        <w:t xml:space="preserve">State </w:t>
      </w:r>
      <w:r w:rsidR="00D44CFA">
        <w:rPr>
          <w:rFonts w:ascii="Arial" w:hAnsi="Arial" w:cs="Arial"/>
          <w:sz w:val="22"/>
          <w:szCs w:val="22"/>
        </w:rPr>
        <w:t>has been</w:t>
      </w:r>
      <w:r w:rsidR="00D716BB" w:rsidRPr="001E52D2">
        <w:rPr>
          <w:rFonts w:ascii="Arial" w:hAnsi="Arial" w:cs="Arial"/>
          <w:sz w:val="22"/>
          <w:szCs w:val="22"/>
        </w:rPr>
        <w:t xml:space="preserve"> to</w:t>
      </w:r>
      <w:r w:rsidR="00291577" w:rsidRPr="001E52D2">
        <w:rPr>
          <w:rFonts w:ascii="Arial" w:hAnsi="Arial" w:cs="Arial"/>
          <w:sz w:val="22"/>
          <w:szCs w:val="22"/>
        </w:rPr>
        <w:t>,</w:t>
      </w:r>
      <w:r w:rsidR="00D716BB" w:rsidRPr="001E52D2">
        <w:rPr>
          <w:rFonts w:ascii="Arial" w:hAnsi="Arial" w:cs="Arial"/>
          <w:sz w:val="22"/>
          <w:szCs w:val="22"/>
        </w:rPr>
        <w:t xml:space="preserve"> </w:t>
      </w:r>
      <w:r w:rsidR="008863E8" w:rsidRPr="001E52D2">
        <w:rPr>
          <w:rFonts w:ascii="Arial" w:hAnsi="Arial" w:cs="Arial"/>
          <w:sz w:val="22"/>
          <w:szCs w:val="22"/>
        </w:rPr>
        <w:t xml:space="preserve">“Stay home. </w:t>
      </w:r>
      <w:r w:rsidR="00623694" w:rsidRPr="001E52D2">
        <w:rPr>
          <w:rFonts w:ascii="Arial" w:hAnsi="Arial" w:cs="Arial"/>
          <w:sz w:val="22"/>
          <w:szCs w:val="22"/>
        </w:rPr>
        <w:t xml:space="preserve">Protect the NHS. </w:t>
      </w:r>
      <w:r w:rsidR="008863E8" w:rsidRPr="001E52D2">
        <w:rPr>
          <w:rFonts w:ascii="Arial" w:hAnsi="Arial" w:cs="Arial"/>
          <w:sz w:val="22"/>
          <w:szCs w:val="22"/>
        </w:rPr>
        <w:t xml:space="preserve">Save lives. </w:t>
      </w:r>
      <w:r w:rsidR="00623694" w:rsidRPr="001E52D2">
        <w:rPr>
          <w:rFonts w:ascii="Arial" w:hAnsi="Arial" w:cs="Arial"/>
          <w:sz w:val="22"/>
          <w:szCs w:val="22"/>
        </w:rPr>
        <w:t xml:space="preserve">Anyone can get it. </w:t>
      </w:r>
      <w:r w:rsidR="00E61F08" w:rsidRPr="001E52D2">
        <w:rPr>
          <w:rFonts w:ascii="Arial" w:hAnsi="Arial" w:cs="Arial"/>
          <w:sz w:val="22"/>
          <w:szCs w:val="22"/>
        </w:rPr>
        <w:t>Anyone can spread it</w:t>
      </w:r>
      <w:r w:rsidR="00142038" w:rsidRPr="001E52D2">
        <w:rPr>
          <w:rFonts w:ascii="Arial" w:hAnsi="Arial" w:cs="Arial"/>
          <w:sz w:val="22"/>
          <w:szCs w:val="22"/>
        </w:rPr>
        <w:t>.</w:t>
      </w:r>
      <w:r w:rsidR="00E61F08" w:rsidRPr="001E52D2">
        <w:rPr>
          <w:rFonts w:ascii="Arial" w:hAnsi="Arial" w:cs="Arial"/>
          <w:sz w:val="22"/>
          <w:szCs w:val="22"/>
        </w:rPr>
        <w:t>”</w:t>
      </w:r>
      <w:r w:rsidR="004A11D9" w:rsidRPr="001E52D2">
        <w:rPr>
          <w:rFonts w:ascii="Arial" w:hAnsi="Arial" w:cs="Arial"/>
          <w:sz w:val="22"/>
          <w:szCs w:val="22"/>
        </w:rPr>
        <w:t xml:space="preserve"> </w:t>
      </w:r>
    </w:p>
    <w:p w14:paraId="47F3F142" w14:textId="77777777" w:rsidR="008B4F1E" w:rsidRDefault="008B4F1E" w:rsidP="001E52D2">
      <w:pPr>
        <w:tabs>
          <w:tab w:val="num" w:pos="0"/>
        </w:tabs>
        <w:jc w:val="both"/>
        <w:rPr>
          <w:rFonts w:ascii="Arial" w:hAnsi="Arial" w:cs="Arial"/>
          <w:sz w:val="22"/>
          <w:szCs w:val="22"/>
        </w:rPr>
      </w:pPr>
    </w:p>
    <w:p w14:paraId="2D649C20" w14:textId="16809AB6" w:rsidR="006A2C6D" w:rsidRDefault="008B4F1E" w:rsidP="00451F18">
      <w:pPr>
        <w:tabs>
          <w:tab w:val="num" w:pos="0"/>
          <w:tab w:val="left" w:pos="567"/>
        </w:tabs>
        <w:jc w:val="both"/>
        <w:rPr>
          <w:rFonts w:ascii="Arial" w:hAnsi="Arial" w:cs="Arial"/>
          <w:sz w:val="22"/>
          <w:szCs w:val="22"/>
        </w:rPr>
      </w:pPr>
      <w:r>
        <w:rPr>
          <w:rFonts w:ascii="Arial" w:hAnsi="Arial" w:cs="Arial"/>
          <w:sz w:val="22"/>
          <w:szCs w:val="22"/>
        </w:rPr>
        <w:t>5</w:t>
      </w:r>
      <w:r w:rsidR="00451F18">
        <w:rPr>
          <w:rFonts w:ascii="Arial" w:hAnsi="Arial" w:cs="Arial"/>
          <w:sz w:val="22"/>
          <w:szCs w:val="22"/>
        </w:rPr>
        <w:t>8</w:t>
      </w:r>
      <w:r>
        <w:rPr>
          <w:rFonts w:ascii="Arial" w:hAnsi="Arial" w:cs="Arial"/>
          <w:sz w:val="22"/>
          <w:szCs w:val="22"/>
        </w:rPr>
        <w:t>.</w:t>
      </w:r>
      <w:r>
        <w:rPr>
          <w:rFonts w:ascii="Arial" w:hAnsi="Arial" w:cs="Arial"/>
          <w:sz w:val="22"/>
          <w:szCs w:val="22"/>
        </w:rPr>
        <w:tab/>
      </w:r>
      <w:r w:rsidR="004A11D9" w:rsidRPr="001E52D2">
        <w:rPr>
          <w:rFonts w:ascii="Arial" w:hAnsi="Arial" w:cs="Arial"/>
          <w:sz w:val="22"/>
          <w:szCs w:val="22"/>
        </w:rPr>
        <w:t xml:space="preserve">The </w:t>
      </w:r>
      <w:r w:rsidR="00020DB4" w:rsidRPr="001E52D2">
        <w:rPr>
          <w:rFonts w:ascii="Arial" w:hAnsi="Arial" w:cs="Arial"/>
          <w:sz w:val="22"/>
          <w:szCs w:val="22"/>
        </w:rPr>
        <w:t xml:space="preserve">UK </w:t>
      </w:r>
      <w:r w:rsidR="004A11D9" w:rsidRPr="001E52D2">
        <w:rPr>
          <w:rFonts w:ascii="Arial" w:hAnsi="Arial" w:cs="Arial"/>
          <w:sz w:val="22"/>
          <w:szCs w:val="22"/>
        </w:rPr>
        <w:t>Government</w:t>
      </w:r>
      <w:r w:rsidR="00020DB4" w:rsidRPr="001E52D2">
        <w:rPr>
          <w:rFonts w:ascii="Arial" w:hAnsi="Arial" w:cs="Arial"/>
          <w:sz w:val="22"/>
          <w:szCs w:val="22"/>
        </w:rPr>
        <w:t xml:space="preserve"> knew the risks; knew the priorities and knew the </w:t>
      </w:r>
      <w:r w:rsidR="000D6FAC" w:rsidRPr="001E52D2">
        <w:rPr>
          <w:rFonts w:ascii="Arial" w:hAnsi="Arial" w:cs="Arial"/>
          <w:sz w:val="22"/>
          <w:szCs w:val="22"/>
        </w:rPr>
        <w:t xml:space="preserve">financial </w:t>
      </w:r>
      <w:r w:rsidR="00020DB4" w:rsidRPr="001E52D2">
        <w:rPr>
          <w:rFonts w:ascii="Arial" w:hAnsi="Arial" w:cs="Arial"/>
          <w:sz w:val="22"/>
          <w:szCs w:val="22"/>
        </w:rPr>
        <w:t>cost</w:t>
      </w:r>
      <w:r w:rsidR="000D6FAC" w:rsidRPr="001E52D2">
        <w:rPr>
          <w:rFonts w:ascii="Arial" w:hAnsi="Arial" w:cs="Arial"/>
          <w:sz w:val="22"/>
          <w:szCs w:val="22"/>
        </w:rPr>
        <w:t xml:space="preserve"> of imposing lockdown. </w:t>
      </w:r>
      <w:r w:rsidR="00577EA4">
        <w:rPr>
          <w:rFonts w:ascii="Arial" w:hAnsi="Arial" w:cs="Arial"/>
          <w:sz w:val="22"/>
          <w:szCs w:val="22"/>
        </w:rPr>
        <w:t>I</w:t>
      </w:r>
      <w:r w:rsidR="00697F9D" w:rsidRPr="001E52D2">
        <w:rPr>
          <w:rFonts w:ascii="Arial" w:hAnsi="Arial" w:cs="Arial"/>
          <w:sz w:val="22"/>
          <w:szCs w:val="22"/>
        </w:rPr>
        <w:t xml:space="preserve">t elected to shut down </w:t>
      </w:r>
      <w:r w:rsidR="008D4CE6" w:rsidRPr="001E52D2">
        <w:rPr>
          <w:rFonts w:ascii="Arial" w:hAnsi="Arial" w:cs="Arial"/>
          <w:sz w:val="22"/>
          <w:szCs w:val="22"/>
        </w:rPr>
        <w:t>shops, pubs and offices;</w:t>
      </w:r>
      <w:r w:rsidR="00DE7297" w:rsidRPr="001E52D2">
        <w:rPr>
          <w:rFonts w:ascii="Arial" w:hAnsi="Arial" w:cs="Arial"/>
          <w:sz w:val="22"/>
          <w:szCs w:val="22"/>
        </w:rPr>
        <w:t xml:space="preserve"> furloughed much of the </w:t>
      </w:r>
      <w:r w:rsidR="00F82AB1" w:rsidRPr="001E52D2">
        <w:rPr>
          <w:rFonts w:ascii="Arial" w:hAnsi="Arial" w:cs="Arial"/>
          <w:sz w:val="22"/>
          <w:szCs w:val="22"/>
        </w:rPr>
        <w:t>country’s</w:t>
      </w:r>
      <w:r w:rsidR="00DE7297" w:rsidRPr="001E52D2">
        <w:rPr>
          <w:rFonts w:ascii="Arial" w:hAnsi="Arial" w:cs="Arial"/>
          <w:sz w:val="22"/>
          <w:szCs w:val="22"/>
        </w:rPr>
        <w:t xml:space="preserve"> workforce</w:t>
      </w:r>
      <w:r w:rsidR="00962B83" w:rsidRPr="001E52D2">
        <w:rPr>
          <w:rFonts w:ascii="Arial" w:hAnsi="Arial" w:cs="Arial"/>
          <w:sz w:val="22"/>
          <w:szCs w:val="22"/>
        </w:rPr>
        <w:t>;</w:t>
      </w:r>
      <w:r w:rsidR="007D0811" w:rsidRPr="001E52D2">
        <w:rPr>
          <w:rFonts w:ascii="Arial" w:hAnsi="Arial" w:cs="Arial"/>
          <w:sz w:val="22"/>
          <w:szCs w:val="22"/>
        </w:rPr>
        <w:t xml:space="preserve"> paid for government employees to</w:t>
      </w:r>
      <w:r w:rsidR="001E2372" w:rsidRPr="001E52D2">
        <w:rPr>
          <w:rFonts w:ascii="Arial" w:hAnsi="Arial" w:cs="Arial"/>
          <w:sz w:val="22"/>
          <w:szCs w:val="22"/>
        </w:rPr>
        <w:t xml:space="preserve"> stay and work from home;</w:t>
      </w:r>
      <w:r w:rsidR="00962B83" w:rsidRPr="001E52D2">
        <w:rPr>
          <w:rFonts w:ascii="Arial" w:hAnsi="Arial" w:cs="Arial"/>
          <w:sz w:val="22"/>
          <w:szCs w:val="22"/>
        </w:rPr>
        <w:t xml:space="preserve"> and accommodated</w:t>
      </w:r>
      <w:r w:rsidR="00195D0A" w:rsidRPr="001E52D2">
        <w:rPr>
          <w:rFonts w:ascii="Arial" w:hAnsi="Arial" w:cs="Arial"/>
          <w:sz w:val="22"/>
          <w:szCs w:val="22"/>
        </w:rPr>
        <w:t xml:space="preserve"> a very large proportion, </w:t>
      </w:r>
      <w:r w:rsidR="00DE187F" w:rsidRPr="001E52D2">
        <w:rPr>
          <w:rFonts w:ascii="Arial" w:hAnsi="Arial" w:cs="Arial"/>
          <w:sz w:val="22"/>
          <w:szCs w:val="22"/>
        </w:rPr>
        <w:t>of its failed asylum seeker</w:t>
      </w:r>
      <w:r w:rsidR="00D44CFA">
        <w:rPr>
          <w:rFonts w:ascii="Arial" w:hAnsi="Arial" w:cs="Arial"/>
          <w:sz w:val="22"/>
          <w:szCs w:val="22"/>
        </w:rPr>
        <w:t xml:space="preserve"> community</w:t>
      </w:r>
      <w:r w:rsidR="00AF777D" w:rsidRPr="001E52D2">
        <w:rPr>
          <w:rFonts w:ascii="Arial" w:hAnsi="Arial" w:cs="Arial"/>
          <w:sz w:val="22"/>
          <w:szCs w:val="22"/>
        </w:rPr>
        <w:t>,</w:t>
      </w:r>
      <w:r w:rsidR="005E4907" w:rsidRPr="001E52D2">
        <w:rPr>
          <w:rFonts w:ascii="Arial" w:hAnsi="Arial" w:cs="Arial"/>
          <w:sz w:val="22"/>
          <w:szCs w:val="22"/>
        </w:rPr>
        <w:t xml:space="preserve"> </w:t>
      </w:r>
      <w:r w:rsidR="00D44CFA">
        <w:rPr>
          <w:rFonts w:ascii="Arial" w:hAnsi="Arial" w:cs="Arial"/>
          <w:sz w:val="22"/>
          <w:szCs w:val="22"/>
        </w:rPr>
        <w:t>(</w:t>
      </w:r>
      <w:r w:rsidR="00A20245" w:rsidRPr="001E52D2">
        <w:rPr>
          <w:rFonts w:ascii="Arial" w:hAnsi="Arial" w:cs="Arial"/>
          <w:sz w:val="22"/>
          <w:szCs w:val="22"/>
        </w:rPr>
        <w:t>if</w:t>
      </w:r>
      <w:r w:rsidR="005E4907" w:rsidRPr="001E52D2">
        <w:rPr>
          <w:rFonts w:ascii="Arial" w:hAnsi="Arial" w:cs="Arial"/>
          <w:sz w:val="22"/>
          <w:szCs w:val="22"/>
        </w:rPr>
        <w:t xml:space="preserve"> they were already in receipt of support at the start of the first lockdown</w:t>
      </w:r>
      <w:r w:rsidR="00D44CFA">
        <w:rPr>
          <w:rFonts w:ascii="Arial" w:hAnsi="Arial" w:cs="Arial"/>
          <w:sz w:val="22"/>
          <w:szCs w:val="22"/>
        </w:rPr>
        <w:t>)</w:t>
      </w:r>
      <w:r w:rsidR="005E4907" w:rsidRPr="001E52D2">
        <w:rPr>
          <w:rFonts w:ascii="Arial" w:hAnsi="Arial" w:cs="Arial"/>
          <w:sz w:val="22"/>
          <w:szCs w:val="22"/>
        </w:rPr>
        <w:t xml:space="preserve">. </w:t>
      </w:r>
      <w:r w:rsidR="00705B3F" w:rsidRPr="001E52D2">
        <w:rPr>
          <w:rFonts w:ascii="Arial" w:hAnsi="Arial" w:cs="Arial"/>
          <w:sz w:val="22"/>
          <w:szCs w:val="22"/>
        </w:rPr>
        <w:t>In so doing, t</w:t>
      </w:r>
      <w:r w:rsidR="00F82AB1" w:rsidRPr="001E52D2">
        <w:rPr>
          <w:rFonts w:ascii="Arial" w:hAnsi="Arial" w:cs="Arial"/>
          <w:sz w:val="22"/>
          <w:szCs w:val="22"/>
        </w:rPr>
        <w:t>h</w:t>
      </w:r>
      <w:r w:rsidR="00C34B5E" w:rsidRPr="001E52D2">
        <w:rPr>
          <w:rFonts w:ascii="Arial" w:hAnsi="Arial" w:cs="Arial"/>
          <w:sz w:val="22"/>
          <w:szCs w:val="22"/>
        </w:rPr>
        <w:t>e</w:t>
      </w:r>
      <w:r w:rsidR="00F82AB1" w:rsidRPr="001E52D2">
        <w:rPr>
          <w:rFonts w:ascii="Arial" w:hAnsi="Arial" w:cs="Arial"/>
          <w:sz w:val="22"/>
          <w:szCs w:val="22"/>
        </w:rPr>
        <w:t xml:space="preserve"> </w:t>
      </w:r>
      <w:r w:rsidR="00D44CFA">
        <w:rPr>
          <w:rFonts w:ascii="Arial" w:hAnsi="Arial" w:cs="Arial"/>
          <w:sz w:val="22"/>
          <w:szCs w:val="22"/>
        </w:rPr>
        <w:t>State</w:t>
      </w:r>
      <w:r w:rsidR="00705B3F" w:rsidRPr="001E52D2">
        <w:rPr>
          <w:rFonts w:ascii="Arial" w:hAnsi="Arial" w:cs="Arial"/>
          <w:sz w:val="22"/>
          <w:szCs w:val="22"/>
        </w:rPr>
        <w:t xml:space="preserve"> </w:t>
      </w:r>
      <w:r w:rsidR="00D44C82" w:rsidRPr="001E52D2">
        <w:rPr>
          <w:rFonts w:ascii="Arial" w:hAnsi="Arial" w:cs="Arial"/>
          <w:sz w:val="22"/>
          <w:szCs w:val="22"/>
        </w:rPr>
        <w:t xml:space="preserve">acknowledged and </w:t>
      </w:r>
      <w:r w:rsidR="00C27250">
        <w:rPr>
          <w:rFonts w:ascii="Arial" w:hAnsi="Arial" w:cs="Arial"/>
          <w:sz w:val="22"/>
          <w:szCs w:val="22"/>
        </w:rPr>
        <w:t xml:space="preserve">proceeded to </w:t>
      </w:r>
      <w:r w:rsidR="00705B3F" w:rsidRPr="001E52D2">
        <w:rPr>
          <w:rFonts w:ascii="Arial" w:hAnsi="Arial" w:cs="Arial"/>
          <w:sz w:val="22"/>
          <w:szCs w:val="22"/>
        </w:rPr>
        <w:t>discharge its positive obligations</w:t>
      </w:r>
      <w:r w:rsidR="00806664" w:rsidRPr="001E52D2">
        <w:rPr>
          <w:rFonts w:ascii="Arial" w:hAnsi="Arial" w:cs="Arial"/>
          <w:sz w:val="22"/>
          <w:szCs w:val="22"/>
        </w:rPr>
        <w:t xml:space="preserve"> to protect </w:t>
      </w:r>
      <w:r w:rsidR="00AC694F" w:rsidRPr="001E52D2">
        <w:rPr>
          <w:rFonts w:ascii="Arial" w:hAnsi="Arial" w:cs="Arial"/>
          <w:sz w:val="22"/>
          <w:szCs w:val="22"/>
        </w:rPr>
        <w:t>all those present in the UK</w:t>
      </w:r>
      <w:r w:rsidR="006E6565" w:rsidRPr="001E52D2">
        <w:rPr>
          <w:rFonts w:ascii="Arial" w:hAnsi="Arial" w:cs="Arial"/>
          <w:sz w:val="22"/>
          <w:szCs w:val="22"/>
        </w:rPr>
        <w:t>, at considerable expense</w:t>
      </w:r>
      <w:r w:rsidR="00FB6BDB" w:rsidRPr="001E52D2">
        <w:rPr>
          <w:rFonts w:ascii="Arial" w:hAnsi="Arial" w:cs="Arial"/>
          <w:sz w:val="22"/>
          <w:szCs w:val="22"/>
        </w:rPr>
        <w:t>,</w:t>
      </w:r>
      <w:r w:rsidR="005E6E98" w:rsidRPr="001E52D2">
        <w:rPr>
          <w:rFonts w:ascii="Arial" w:hAnsi="Arial" w:cs="Arial"/>
          <w:sz w:val="22"/>
          <w:szCs w:val="22"/>
        </w:rPr>
        <w:t xml:space="preserve"> both in terms of financial cost</w:t>
      </w:r>
      <w:r w:rsidR="008902CB" w:rsidRPr="001E52D2">
        <w:rPr>
          <w:rFonts w:ascii="Arial" w:hAnsi="Arial" w:cs="Arial"/>
          <w:sz w:val="22"/>
          <w:szCs w:val="22"/>
        </w:rPr>
        <w:t xml:space="preserve"> – apparently a loss of over £</w:t>
      </w:r>
      <w:r w:rsidR="00BB7B63" w:rsidRPr="001E52D2">
        <w:rPr>
          <w:rFonts w:ascii="Arial" w:hAnsi="Arial" w:cs="Arial"/>
          <w:sz w:val="22"/>
          <w:szCs w:val="22"/>
        </w:rPr>
        <w:t>2</w:t>
      </w:r>
      <w:r w:rsidR="008902CB" w:rsidRPr="001E52D2">
        <w:rPr>
          <w:rFonts w:ascii="Arial" w:hAnsi="Arial" w:cs="Arial"/>
          <w:sz w:val="22"/>
          <w:szCs w:val="22"/>
        </w:rPr>
        <w:t>50 billion to the UK economy</w:t>
      </w:r>
      <w:r w:rsidR="00FB6BDB" w:rsidRPr="001E52D2">
        <w:rPr>
          <w:rFonts w:ascii="Arial" w:hAnsi="Arial" w:cs="Arial"/>
          <w:sz w:val="22"/>
          <w:szCs w:val="22"/>
        </w:rPr>
        <w:t xml:space="preserve"> - </w:t>
      </w:r>
      <w:r w:rsidR="008902CB" w:rsidRPr="001E52D2">
        <w:rPr>
          <w:rFonts w:ascii="Arial" w:hAnsi="Arial" w:cs="Arial"/>
          <w:sz w:val="22"/>
          <w:szCs w:val="22"/>
        </w:rPr>
        <w:t xml:space="preserve">but also </w:t>
      </w:r>
      <w:r w:rsidR="00FD7B1B" w:rsidRPr="001E52D2">
        <w:rPr>
          <w:rFonts w:ascii="Arial" w:hAnsi="Arial" w:cs="Arial"/>
          <w:sz w:val="22"/>
          <w:szCs w:val="22"/>
        </w:rPr>
        <w:t xml:space="preserve">the loss of </w:t>
      </w:r>
      <w:r w:rsidR="00BB7B63" w:rsidRPr="001E52D2">
        <w:rPr>
          <w:rFonts w:ascii="Arial" w:hAnsi="Arial" w:cs="Arial"/>
          <w:sz w:val="22"/>
          <w:szCs w:val="22"/>
        </w:rPr>
        <w:t>127,</w:t>
      </w:r>
      <w:r w:rsidR="00987AE7" w:rsidRPr="001E52D2">
        <w:rPr>
          <w:rFonts w:ascii="Arial" w:hAnsi="Arial" w:cs="Arial"/>
          <w:sz w:val="22"/>
          <w:szCs w:val="22"/>
        </w:rPr>
        <w:t>480</w:t>
      </w:r>
      <w:r w:rsidR="00BB7B63" w:rsidRPr="001E52D2">
        <w:rPr>
          <w:rFonts w:ascii="Arial" w:hAnsi="Arial" w:cs="Arial"/>
          <w:sz w:val="22"/>
          <w:szCs w:val="22"/>
        </w:rPr>
        <w:t xml:space="preserve"> </w:t>
      </w:r>
      <w:r w:rsidR="00FD7B1B" w:rsidRPr="001E52D2">
        <w:rPr>
          <w:rFonts w:ascii="Arial" w:hAnsi="Arial" w:cs="Arial"/>
          <w:sz w:val="22"/>
          <w:szCs w:val="22"/>
        </w:rPr>
        <w:t>lives.</w:t>
      </w:r>
      <w:r w:rsidR="00BA5102" w:rsidRPr="001E52D2">
        <w:rPr>
          <w:rFonts w:ascii="Arial" w:hAnsi="Arial" w:cs="Arial"/>
          <w:sz w:val="22"/>
          <w:szCs w:val="22"/>
        </w:rPr>
        <w:t xml:space="preserve"> </w:t>
      </w:r>
    </w:p>
    <w:p w14:paraId="59A3E847" w14:textId="77777777" w:rsidR="006A2C6D" w:rsidRDefault="006A2C6D" w:rsidP="001E52D2">
      <w:pPr>
        <w:tabs>
          <w:tab w:val="num" w:pos="0"/>
        </w:tabs>
        <w:jc w:val="both"/>
        <w:rPr>
          <w:rFonts w:ascii="Arial" w:hAnsi="Arial" w:cs="Arial"/>
          <w:sz w:val="22"/>
          <w:szCs w:val="22"/>
        </w:rPr>
      </w:pPr>
    </w:p>
    <w:p w14:paraId="4B35B955" w14:textId="760DD015" w:rsidR="005F710C" w:rsidRPr="00D44CFA" w:rsidRDefault="006A2C6D" w:rsidP="00451F18">
      <w:pPr>
        <w:tabs>
          <w:tab w:val="num" w:pos="0"/>
          <w:tab w:val="left" w:pos="567"/>
        </w:tabs>
        <w:jc w:val="both"/>
        <w:rPr>
          <w:rFonts w:ascii="Arial" w:hAnsi="Arial" w:cs="Arial"/>
          <w:sz w:val="22"/>
          <w:szCs w:val="22"/>
        </w:rPr>
      </w:pPr>
      <w:r w:rsidRPr="00D44CFA">
        <w:rPr>
          <w:rFonts w:ascii="Arial" w:hAnsi="Arial" w:cs="Arial"/>
          <w:sz w:val="22"/>
          <w:szCs w:val="22"/>
        </w:rPr>
        <w:t>5</w:t>
      </w:r>
      <w:r w:rsidR="00451F18" w:rsidRPr="00D44CFA">
        <w:rPr>
          <w:rFonts w:ascii="Arial" w:hAnsi="Arial" w:cs="Arial"/>
          <w:sz w:val="22"/>
          <w:szCs w:val="22"/>
        </w:rPr>
        <w:t>9</w:t>
      </w:r>
      <w:r w:rsidRPr="00D44CFA">
        <w:rPr>
          <w:rFonts w:ascii="Arial" w:hAnsi="Arial" w:cs="Arial"/>
          <w:sz w:val="22"/>
          <w:szCs w:val="22"/>
        </w:rPr>
        <w:t>.</w:t>
      </w:r>
      <w:r w:rsidRPr="00D44CFA">
        <w:rPr>
          <w:rFonts w:ascii="Arial" w:hAnsi="Arial" w:cs="Arial"/>
          <w:sz w:val="22"/>
          <w:szCs w:val="22"/>
        </w:rPr>
        <w:tab/>
      </w:r>
      <w:r w:rsidR="005600D2" w:rsidRPr="00D44CFA">
        <w:rPr>
          <w:rFonts w:ascii="Arial" w:hAnsi="Arial" w:cs="Arial"/>
          <w:sz w:val="22"/>
          <w:szCs w:val="22"/>
        </w:rPr>
        <w:t>If further e</w:t>
      </w:r>
      <w:r w:rsidR="0014117F" w:rsidRPr="00D44CFA">
        <w:rPr>
          <w:rFonts w:ascii="Arial" w:hAnsi="Arial" w:cs="Arial"/>
          <w:sz w:val="22"/>
          <w:szCs w:val="22"/>
        </w:rPr>
        <w:t xml:space="preserve">vidence </w:t>
      </w:r>
      <w:r w:rsidR="00D44CFA" w:rsidRPr="00D44CFA">
        <w:rPr>
          <w:rFonts w:ascii="Arial" w:hAnsi="Arial" w:cs="Arial"/>
          <w:sz w:val="22"/>
          <w:szCs w:val="22"/>
        </w:rPr>
        <w:t>wa</w:t>
      </w:r>
      <w:r w:rsidR="005600D2" w:rsidRPr="00D44CFA">
        <w:rPr>
          <w:rFonts w:ascii="Arial" w:hAnsi="Arial" w:cs="Arial"/>
          <w:sz w:val="22"/>
          <w:szCs w:val="22"/>
        </w:rPr>
        <w:t xml:space="preserve">s required of the </w:t>
      </w:r>
      <w:r w:rsidR="00FF7570" w:rsidRPr="00D44CFA">
        <w:rPr>
          <w:rFonts w:ascii="Arial" w:hAnsi="Arial" w:cs="Arial"/>
          <w:sz w:val="22"/>
          <w:szCs w:val="22"/>
        </w:rPr>
        <w:t>State’s</w:t>
      </w:r>
      <w:r w:rsidR="005600D2" w:rsidRPr="00D44CFA">
        <w:rPr>
          <w:rFonts w:ascii="Arial" w:hAnsi="Arial" w:cs="Arial"/>
          <w:sz w:val="22"/>
          <w:szCs w:val="22"/>
        </w:rPr>
        <w:t xml:space="preserve"> recognition of the</w:t>
      </w:r>
      <w:r w:rsidR="00C21C68" w:rsidRPr="00D44CFA">
        <w:rPr>
          <w:rFonts w:ascii="Arial" w:hAnsi="Arial" w:cs="Arial"/>
          <w:sz w:val="22"/>
          <w:szCs w:val="22"/>
        </w:rPr>
        <w:t xml:space="preserve"> </w:t>
      </w:r>
      <w:r w:rsidR="00D44CFA" w:rsidRPr="00D44CFA">
        <w:rPr>
          <w:rFonts w:ascii="Arial" w:hAnsi="Arial" w:cs="Arial"/>
          <w:sz w:val="22"/>
          <w:szCs w:val="22"/>
        </w:rPr>
        <w:t>real and immediate</w:t>
      </w:r>
      <w:r w:rsidR="00C21C68" w:rsidRPr="00D44CFA">
        <w:rPr>
          <w:rFonts w:ascii="Arial" w:hAnsi="Arial" w:cs="Arial"/>
          <w:sz w:val="22"/>
          <w:szCs w:val="22"/>
        </w:rPr>
        <w:t xml:space="preserve"> risk</w:t>
      </w:r>
      <w:r w:rsidR="00D44CFA" w:rsidRPr="00D44CFA">
        <w:rPr>
          <w:rFonts w:ascii="Arial" w:hAnsi="Arial" w:cs="Arial"/>
          <w:sz w:val="22"/>
          <w:szCs w:val="22"/>
        </w:rPr>
        <w:t>,</w:t>
      </w:r>
      <w:r w:rsidR="00BD7561" w:rsidRPr="00D44CFA">
        <w:rPr>
          <w:rFonts w:ascii="Arial" w:hAnsi="Arial" w:cs="Arial"/>
          <w:sz w:val="22"/>
          <w:szCs w:val="22"/>
        </w:rPr>
        <w:t xml:space="preserve"> </w:t>
      </w:r>
      <w:r w:rsidR="002714BB" w:rsidRPr="00D44CFA">
        <w:rPr>
          <w:rFonts w:ascii="Arial" w:hAnsi="Arial" w:cs="Arial"/>
          <w:sz w:val="22"/>
          <w:szCs w:val="22"/>
        </w:rPr>
        <w:t xml:space="preserve">the severity of the </w:t>
      </w:r>
      <w:r w:rsidR="00BD7561" w:rsidRPr="00D44CFA">
        <w:rPr>
          <w:rFonts w:ascii="Arial" w:hAnsi="Arial" w:cs="Arial"/>
          <w:sz w:val="22"/>
          <w:szCs w:val="22"/>
        </w:rPr>
        <w:t xml:space="preserve">threat to the community </w:t>
      </w:r>
      <w:r w:rsidR="009D14DF" w:rsidRPr="00D44CFA">
        <w:rPr>
          <w:rFonts w:ascii="Arial" w:hAnsi="Arial" w:cs="Arial"/>
          <w:sz w:val="22"/>
          <w:szCs w:val="22"/>
        </w:rPr>
        <w:t xml:space="preserve">from the COVID-19 pandemic </w:t>
      </w:r>
      <w:r w:rsidR="00C21C68" w:rsidRPr="00D44CFA">
        <w:rPr>
          <w:rFonts w:ascii="Arial" w:hAnsi="Arial" w:cs="Arial"/>
          <w:sz w:val="22"/>
          <w:szCs w:val="22"/>
        </w:rPr>
        <w:t xml:space="preserve">and </w:t>
      </w:r>
      <w:r w:rsidR="00595634" w:rsidRPr="00D44CFA">
        <w:rPr>
          <w:rFonts w:ascii="Arial" w:hAnsi="Arial" w:cs="Arial"/>
          <w:sz w:val="22"/>
          <w:szCs w:val="22"/>
        </w:rPr>
        <w:t xml:space="preserve">the urgent  need </w:t>
      </w:r>
      <w:r w:rsidR="00BD7561" w:rsidRPr="00D44CFA">
        <w:rPr>
          <w:rFonts w:ascii="Arial" w:hAnsi="Arial" w:cs="Arial"/>
          <w:sz w:val="22"/>
          <w:szCs w:val="22"/>
        </w:rPr>
        <w:t>to</w:t>
      </w:r>
      <w:r w:rsidR="00C21C68" w:rsidRPr="00D44CFA">
        <w:rPr>
          <w:rFonts w:ascii="Arial" w:hAnsi="Arial" w:cs="Arial"/>
          <w:sz w:val="22"/>
          <w:szCs w:val="22"/>
        </w:rPr>
        <w:t xml:space="preserve"> protect </w:t>
      </w:r>
      <w:r w:rsidR="00CF5F94" w:rsidRPr="00D44CFA">
        <w:rPr>
          <w:rFonts w:ascii="Arial" w:hAnsi="Arial" w:cs="Arial"/>
          <w:sz w:val="22"/>
          <w:szCs w:val="22"/>
        </w:rPr>
        <w:t xml:space="preserve">the </w:t>
      </w:r>
      <w:r w:rsidR="009D1B06" w:rsidRPr="00D44CFA">
        <w:rPr>
          <w:rFonts w:ascii="Arial" w:hAnsi="Arial" w:cs="Arial"/>
          <w:sz w:val="22"/>
          <w:szCs w:val="22"/>
        </w:rPr>
        <w:t>community</w:t>
      </w:r>
      <w:r w:rsidR="00FF7570" w:rsidRPr="00D44CFA">
        <w:rPr>
          <w:rFonts w:ascii="Arial" w:hAnsi="Arial" w:cs="Arial"/>
          <w:sz w:val="22"/>
          <w:szCs w:val="22"/>
        </w:rPr>
        <w:t>, this is</w:t>
      </w:r>
      <w:r w:rsidR="00995449" w:rsidRPr="00D44CFA">
        <w:rPr>
          <w:rFonts w:ascii="Arial" w:hAnsi="Arial" w:cs="Arial"/>
          <w:sz w:val="22"/>
          <w:szCs w:val="22"/>
        </w:rPr>
        <w:t xml:space="preserve"> </w:t>
      </w:r>
      <w:r w:rsidR="00D44CFA" w:rsidRPr="00D44CFA">
        <w:rPr>
          <w:rFonts w:ascii="Arial" w:hAnsi="Arial" w:cs="Arial"/>
          <w:sz w:val="22"/>
          <w:szCs w:val="22"/>
        </w:rPr>
        <w:t>apparent from</w:t>
      </w:r>
      <w:r w:rsidR="009577C4" w:rsidRPr="00D44CFA">
        <w:rPr>
          <w:rFonts w:ascii="Arial" w:hAnsi="Arial" w:cs="Arial"/>
          <w:sz w:val="22"/>
          <w:szCs w:val="22"/>
        </w:rPr>
        <w:t xml:space="preserve"> Public Health England briefing</w:t>
      </w:r>
      <w:r w:rsidR="005262CB" w:rsidRPr="00D44CFA">
        <w:rPr>
          <w:rFonts w:ascii="Arial" w:hAnsi="Arial" w:cs="Arial"/>
          <w:sz w:val="22"/>
          <w:szCs w:val="22"/>
        </w:rPr>
        <w:t>s</w:t>
      </w:r>
      <w:r w:rsidR="00CF4C15" w:rsidRPr="00D44CFA">
        <w:rPr>
          <w:rFonts w:ascii="Arial" w:hAnsi="Arial" w:cs="Arial"/>
          <w:sz w:val="22"/>
          <w:szCs w:val="22"/>
        </w:rPr>
        <w:t>, statements by Government officials,</w:t>
      </w:r>
      <w:r w:rsidR="005262CB" w:rsidRPr="00D44CFA">
        <w:rPr>
          <w:rFonts w:ascii="Arial" w:hAnsi="Arial" w:cs="Arial"/>
          <w:sz w:val="22"/>
          <w:szCs w:val="22"/>
        </w:rPr>
        <w:t xml:space="preserve"> </w:t>
      </w:r>
      <w:r w:rsidR="00A2442F" w:rsidRPr="00D44CFA">
        <w:rPr>
          <w:rFonts w:ascii="Arial" w:hAnsi="Arial" w:cs="Arial"/>
          <w:sz w:val="22"/>
          <w:szCs w:val="22"/>
        </w:rPr>
        <w:t>the Chief Medical Officer</w:t>
      </w:r>
      <w:r w:rsidR="003B7606" w:rsidRPr="00D44CFA">
        <w:rPr>
          <w:rFonts w:ascii="Arial" w:hAnsi="Arial" w:cs="Arial"/>
          <w:sz w:val="22"/>
          <w:szCs w:val="22"/>
        </w:rPr>
        <w:t xml:space="preserve">, </w:t>
      </w:r>
      <w:r w:rsidR="005262CB" w:rsidRPr="00D44CFA">
        <w:rPr>
          <w:rFonts w:ascii="Arial" w:hAnsi="Arial" w:cs="Arial"/>
          <w:sz w:val="22"/>
          <w:szCs w:val="22"/>
        </w:rPr>
        <w:t xml:space="preserve">and </w:t>
      </w:r>
      <w:r w:rsidR="00A3391F" w:rsidRPr="00D44CFA">
        <w:rPr>
          <w:rFonts w:ascii="Arial" w:hAnsi="Arial" w:cs="Arial"/>
          <w:sz w:val="22"/>
          <w:szCs w:val="22"/>
        </w:rPr>
        <w:t xml:space="preserve">importantly, </w:t>
      </w:r>
      <w:r w:rsidR="004A3F59" w:rsidRPr="00D44CFA">
        <w:rPr>
          <w:rFonts w:ascii="Arial" w:hAnsi="Arial" w:cs="Arial"/>
          <w:sz w:val="22"/>
          <w:szCs w:val="22"/>
        </w:rPr>
        <w:t>g</w:t>
      </w:r>
      <w:r w:rsidR="00DD6096" w:rsidRPr="00D44CFA">
        <w:rPr>
          <w:rFonts w:ascii="Arial" w:hAnsi="Arial" w:cs="Arial"/>
          <w:sz w:val="22"/>
          <w:szCs w:val="22"/>
        </w:rPr>
        <w:t xml:space="preserve">overnment regulations already in place, </w:t>
      </w:r>
      <w:r w:rsidR="00BD7DA9" w:rsidRPr="00D44CFA">
        <w:rPr>
          <w:rFonts w:ascii="Arial" w:hAnsi="Arial" w:cs="Arial"/>
          <w:sz w:val="22"/>
          <w:szCs w:val="22"/>
        </w:rPr>
        <w:t xml:space="preserve">such as </w:t>
      </w:r>
      <w:r w:rsidR="00886046" w:rsidRPr="00D44CFA">
        <w:rPr>
          <w:rFonts w:ascii="Arial" w:hAnsi="Arial" w:cs="Arial"/>
          <w:sz w:val="22"/>
          <w:szCs w:val="22"/>
        </w:rPr>
        <w:t xml:space="preserve">the </w:t>
      </w:r>
      <w:r w:rsidR="00886046" w:rsidRPr="00D44CFA">
        <w:rPr>
          <w:rFonts w:ascii="Arial" w:hAnsi="Arial" w:cs="Arial"/>
          <w:kern w:val="36"/>
          <w:sz w:val="22"/>
          <w:szCs w:val="22"/>
        </w:rPr>
        <w:t xml:space="preserve">Health Protection (Coronavirus, </w:t>
      </w:r>
      <w:r w:rsidR="00A97077" w:rsidRPr="00D44CFA">
        <w:rPr>
          <w:rFonts w:ascii="Arial" w:hAnsi="Arial" w:cs="Arial"/>
          <w:kern w:val="36"/>
          <w:sz w:val="22"/>
          <w:szCs w:val="22"/>
        </w:rPr>
        <w:t>Restrictions</w:t>
      </w:r>
      <w:r w:rsidR="00E91B08" w:rsidRPr="00D44CFA">
        <w:rPr>
          <w:rFonts w:ascii="Arial" w:hAnsi="Arial" w:cs="Arial"/>
          <w:kern w:val="36"/>
          <w:sz w:val="22"/>
          <w:szCs w:val="22"/>
        </w:rPr>
        <w:t>)</w:t>
      </w:r>
      <w:r w:rsidR="005F710C" w:rsidRPr="00D44CFA">
        <w:rPr>
          <w:rFonts w:ascii="Arial" w:hAnsi="Arial" w:cs="Arial"/>
          <w:kern w:val="36"/>
          <w:sz w:val="22"/>
          <w:szCs w:val="22"/>
        </w:rPr>
        <w:t xml:space="preserve"> </w:t>
      </w:r>
      <w:r w:rsidR="00E91B08" w:rsidRPr="00D44CFA">
        <w:rPr>
          <w:rFonts w:ascii="Arial" w:hAnsi="Arial" w:cs="Arial"/>
          <w:kern w:val="36"/>
          <w:sz w:val="22"/>
          <w:szCs w:val="22"/>
        </w:rPr>
        <w:t xml:space="preserve">(Steps) (England) </w:t>
      </w:r>
      <w:r w:rsidR="00886046" w:rsidRPr="00D44CFA">
        <w:rPr>
          <w:rFonts w:ascii="Arial" w:hAnsi="Arial" w:cs="Arial"/>
          <w:kern w:val="36"/>
          <w:sz w:val="22"/>
          <w:szCs w:val="22"/>
        </w:rPr>
        <w:t>Regulations 202</w:t>
      </w:r>
      <w:r w:rsidR="008E388C" w:rsidRPr="00D44CFA">
        <w:rPr>
          <w:rFonts w:ascii="Arial" w:hAnsi="Arial" w:cs="Arial"/>
          <w:kern w:val="36"/>
          <w:sz w:val="22"/>
          <w:szCs w:val="22"/>
        </w:rPr>
        <w:t>1(SI 2021/364)</w:t>
      </w:r>
      <w:r w:rsidR="00D44CFA" w:rsidRPr="00D44CFA">
        <w:rPr>
          <w:rFonts w:ascii="Arial" w:hAnsi="Arial" w:cs="Arial"/>
          <w:kern w:val="36"/>
          <w:sz w:val="22"/>
          <w:szCs w:val="22"/>
        </w:rPr>
        <w:t>,</w:t>
      </w:r>
      <w:r w:rsidR="00E848C0" w:rsidRPr="00D44CFA">
        <w:rPr>
          <w:rFonts w:ascii="Arial" w:hAnsi="Arial" w:cs="Arial"/>
          <w:kern w:val="36"/>
          <w:sz w:val="22"/>
          <w:szCs w:val="22"/>
        </w:rPr>
        <w:t xml:space="preserve"> which came into force on 29 March 2021</w:t>
      </w:r>
      <w:r w:rsidR="00886046" w:rsidRPr="00D44CFA">
        <w:rPr>
          <w:rFonts w:ascii="Arial" w:hAnsi="Arial" w:cs="Arial"/>
          <w:kern w:val="36"/>
          <w:sz w:val="22"/>
          <w:szCs w:val="22"/>
        </w:rPr>
        <w:t>.</w:t>
      </w:r>
      <w:r w:rsidR="00886046" w:rsidRPr="00D44CFA">
        <w:rPr>
          <w:rFonts w:ascii="Arial" w:hAnsi="Arial" w:cs="Arial"/>
          <w:sz w:val="22"/>
          <w:szCs w:val="22"/>
        </w:rPr>
        <w:t xml:space="preserve"> </w:t>
      </w:r>
      <w:r w:rsidR="00DA7767" w:rsidRPr="00D44CFA">
        <w:rPr>
          <w:rFonts w:ascii="Arial" w:hAnsi="Arial" w:cs="Arial"/>
          <w:sz w:val="22"/>
          <w:szCs w:val="22"/>
        </w:rPr>
        <w:t>T</w:t>
      </w:r>
      <w:r w:rsidR="00AC3782" w:rsidRPr="00D44CFA">
        <w:rPr>
          <w:rFonts w:ascii="Arial" w:hAnsi="Arial" w:cs="Arial"/>
          <w:sz w:val="22"/>
          <w:szCs w:val="22"/>
        </w:rPr>
        <w:t xml:space="preserve">he </w:t>
      </w:r>
      <w:r w:rsidR="00537AC6" w:rsidRPr="00D44CFA">
        <w:rPr>
          <w:rFonts w:ascii="Arial" w:hAnsi="Arial" w:cs="Arial"/>
          <w:sz w:val="22"/>
          <w:szCs w:val="22"/>
        </w:rPr>
        <w:t>preamble to</w:t>
      </w:r>
      <w:r w:rsidR="00092CDB" w:rsidRPr="00D44CFA">
        <w:rPr>
          <w:rFonts w:ascii="Arial" w:hAnsi="Arial" w:cs="Arial"/>
          <w:sz w:val="22"/>
          <w:szCs w:val="22"/>
        </w:rPr>
        <w:t xml:space="preserve"> </w:t>
      </w:r>
      <w:r w:rsidR="00ED3ADF" w:rsidRPr="00D44CFA">
        <w:rPr>
          <w:rFonts w:ascii="Arial" w:hAnsi="Arial" w:cs="Arial"/>
          <w:sz w:val="22"/>
          <w:szCs w:val="22"/>
        </w:rPr>
        <w:t xml:space="preserve">the </w:t>
      </w:r>
      <w:r w:rsidR="00DA7767" w:rsidRPr="00D44CFA">
        <w:rPr>
          <w:rFonts w:ascii="Arial" w:hAnsi="Arial" w:cs="Arial"/>
          <w:sz w:val="22"/>
          <w:szCs w:val="22"/>
        </w:rPr>
        <w:t xml:space="preserve">latter </w:t>
      </w:r>
      <w:r w:rsidR="00ED3ADF" w:rsidRPr="00D44CFA">
        <w:rPr>
          <w:rFonts w:ascii="Arial" w:hAnsi="Arial" w:cs="Arial"/>
          <w:sz w:val="22"/>
          <w:szCs w:val="22"/>
        </w:rPr>
        <w:t>Health Protection Regulations</w:t>
      </w:r>
      <w:r w:rsidR="006155C5" w:rsidRPr="00D44CFA">
        <w:rPr>
          <w:rFonts w:ascii="Arial" w:hAnsi="Arial" w:cs="Arial"/>
          <w:sz w:val="22"/>
          <w:szCs w:val="22"/>
        </w:rPr>
        <w:t>,</w:t>
      </w:r>
      <w:r w:rsidR="001563D7" w:rsidRPr="00D44CFA">
        <w:rPr>
          <w:rFonts w:ascii="Arial" w:hAnsi="Arial" w:cs="Arial"/>
          <w:sz w:val="22"/>
          <w:szCs w:val="22"/>
        </w:rPr>
        <w:t xml:space="preserve"> </w:t>
      </w:r>
      <w:r w:rsidR="00DA7767" w:rsidRPr="00D44CFA">
        <w:rPr>
          <w:rFonts w:ascii="Arial" w:hAnsi="Arial" w:cs="Arial"/>
          <w:sz w:val="22"/>
          <w:szCs w:val="22"/>
        </w:rPr>
        <w:t>state</w:t>
      </w:r>
      <w:r w:rsidR="00611E99" w:rsidRPr="00D44CFA">
        <w:rPr>
          <w:rFonts w:ascii="Arial" w:hAnsi="Arial" w:cs="Arial"/>
          <w:sz w:val="22"/>
          <w:szCs w:val="22"/>
        </w:rPr>
        <w:t>s</w:t>
      </w:r>
      <w:r w:rsidR="001563D7" w:rsidRPr="00D44CFA">
        <w:rPr>
          <w:rFonts w:ascii="Arial" w:hAnsi="Arial" w:cs="Arial"/>
          <w:sz w:val="22"/>
          <w:szCs w:val="22"/>
        </w:rPr>
        <w:t>:</w:t>
      </w:r>
    </w:p>
    <w:p w14:paraId="50301891" w14:textId="602B6457" w:rsidR="00092CDB" w:rsidRDefault="00092CDB" w:rsidP="00652ADB">
      <w:pPr>
        <w:tabs>
          <w:tab w:val="num" w:pos="0"/>
        </w:tabs>
        <w:jc w:val="both"/>
        <w:rPr>
          <w:rFonts w:ascii="Arial" w:hAnsi="Arial" w:cs="Arial"/>
          <w:color w:val="0070C0"/>
          <w:sz w:val="22"/>
          <w:szCs w:val="22"/>
        </w:rPr>
      </w:pPr>
    </w:p>
    <w:p w14:paraId="76B2A534" w14:textId="28FF6F5E" w:rsidR="00092CDB" w:rsidRPr="006F2446" w:rsidRDefault="00785744" w:rsidP="001563D7">
      <w:pPr>
        <w:pStyle w:val="legtext"/>
        <w:shd w:val="clear" w:color="auto" w:fill="FFFFFF"/>
        <w:spacing w:before="0" w:beforeAutospacing="0" w:after="120" w:afterAutospacing="0"/>
        <w:ind w:left="426" w:right="425"/>
        <w:jc w:val="both"/>
        <w:rPr>
          <w:rFonts w:ascii="Arial" w:hAnsi="Arial" w:cs="Arial"/>
          <w:i/>
          <w:sz w:val="22"/>
          <w:szCs w:val="22"/>
        </w:rPr>
      </w:pPr>
      <w:r w:rsidRPr="006F2446">
        <w:rPr>
          <w:rFonts w:ascii="Arial" w:hAnsi="Arial" w:cs="Arial"/>
          <w:i/>
          <w:sz w:val="22"/>
          <w:szCs w:val="22"/>
        </w:rPr>
        <w:t>“</w:t>
      </w:r>
      <w:r w:rsidR="00092CDB" w:rsidRPr="006F2446">
        <w:rPr>
          <w:rFonts w:ascii="Arial" w:hAnsi="Arial" w:cs="Arial"/>
          <w:i/>
          <w:sz w:val="22"/>
          <w:szCs w:val="22"/>
        </w:rPr>
        <w:t>These Regulations are made in response to the serious and imminent threat to public health which is posed by the incidence and spread of severe acute respiratory syndrome coronavirus 2 (SARS-CoV-2) in England.</w:t>
      </w:r>
    </w:p>
    <w:p w14:paraId="3E78B3C7" w14:textId="4B7C53AA" w:rsidR="00092CDB" w:rsidRPr="006F2446" w:rsidRDefault="00092CDB" w:rsidP="001563D7">
      <w:pPr>
        <w:pStyle w:val="legtext"/>
        <w:shd w:val="clear" w:color="auto" w:fill="FFFFFF"/>
        <w:spacing w:before="0" w:beforeAutospacing="0" w:after="120" w:afterAutospacing="0"/>
        <w:ind w:left="426" w:right="425"/>
        <w:jc w:val="both"/>
        <w:rPr>
          <w:rFonts w:ascii="Arial" w:hAnsi="Arial" w:cs="Arial"/>
          <w:b/>
          <w:i/>
          <w:sz w:val="22"/>
          <w:szCs w:val="22"/>
        </w:rPr>
      </w:pPr>
      <w:r w:rsidRPr="006F2446">
        <w:rPr>
          <w:rFonts w:ascii="Arial" w:hAnsi="Arial" w:cs="Arial"/>
          <w:i/>
          <w:sz w:val="22"/>
          <w:szCs w:val="22"/>
        </w:rPr>
        <w:t>The Secretary of State considers that the restrictions and requirements imposed by these Regulations, and by the Health Protection (Coronavirus, International Travel) (England) Regulations 2020(</w:t>
      </w:r>
      <w:hyperlink r:id="rId12" w:anchor="f00002" w:tooltip="Go to footnote 2" w:history="1">
        <w:r w:rsidRPr="006F2446">
          <w:rPr>
            <w:rStyle w:val="Hyperlink"/>
            <w:rFonts w:ascii="Arial" w:hAnsi="Arial" w:cs="Arial"/>
            <w:b/>
            <w:bCs/>
            <w:i/>
            <w:color w:val="auto"/>
            <w:sz w:val="22"/>
            <w:szCs w:val="22"/>
          </w:rPr>
          <w:t>2</w:t>
        </w:r>
      </w:hyperlink>
      <w:r w:rsidRPr="006F2446">
        <w:rPr>
          <w:rFonts w:ascii="Arial" w:hAnsi="Arial" w:cs="Arial"/>
          <w:i/>
          <w:sz w:val="22"/>
          <w:szCs w:val="22"/>
        </w:rPr>
        <w:t>), the Health Protection (Coronavirus, Collection of Contact Details etc and Related Requirements) Regulations 2020(</w:t>
      </w:r>
      <w:hyperlink r:id="rId13" w:anchor="f00003" w:tooltip="Go to footnote 3" w:history="1">
        <w:r w:rsidRPr="006F2446">
          <w:rPr>
            <w:rStyle w:val="Hyperlink"/>
            <w:rFonts w:ascii="Arial" w:hAnsi="Arial" w:cs="Arial"/>
            <w:b/>
            <w:bCs/>
            <w:i/>
            <w:color w:val="auto"/>
            <w:sz w:val="22"/>
            <w:szCs w:val="22"/>
          </w:rPr>
          <w:t>3</w:t>
        </w:r>
      </w:hyperlink>
      <w:r w:rsidRPr="006F2446">
        <w:rPr>
          <w:rFonts w:ascii="Arial" w:hAnsi="Arial" w:cs="Arial"/>
          <w:i/>
          <w:sz w:val="22"/>
          <w:szCs w:val="22"/>
        </w:rPr>
        <w:t>) and the Health Protection (Coronavirus, Restrictions) (Self-Isolation) (England) Regulations 2020(</w:t>
      </w:r>
      <w:hyperlink r:id="rId14" w:anchor="f00004" w:tooltip="Go to footnote 4" w:history="1">
        <w:r w:rsidRPr="006F2446">
          <w:rPr>
            <w:rStyle w:val="Hyperlink"/>
            <w:rFonts w:ascii="Arial" w:hAnsi="Arial" w:cs="Arial"/>
            <w:b/>
            <w:bCs/>
            <w:i/>
            <w:color w:val="auto"/>
            <w:sz w:val="22"/>
            <w:szCs w:val="22"/>
          </w:rPr>
          <w:t>4</w:t>
        </w:r>
      </w:hyperlink>
      <w:r w:rsidRPr="006F2446">
        <w:rPr>
          <w:rFonts w:ascii="Arial" w:hAnsi="Arial" w:cs="Arial"/>
          <w:i/>
          <w:sz w:val="22"/>
          <w:szCs w:val="22"/>
        </w:rPr>
        <w:t>) as amended by these Regulations, are proportionate to what they seek to achieve, which is a public health response to that threat.</w:t>
      </w:r>
      <w:r w:rsidR="00BE4699" w:rsidRPr="006F2446">
        <w:rPr>
          <w:rFonts w:ascii="Arial" w:hAnsi="Arial" w:cs="Arial"/>
          <w:i/>
          <w:sz w:val="22"/>
          <w:szCs w:val="22"/>
        </w:rPr>
        <w:t>”</w:t>
      </w:r>
    </w:p>
    <w:p w14:paraId="189CAF6D" w14:textId="4CA3B109" w:rsidR="002360C3" w:rsidRDefault="00451F18" w:rsidP="00451F18">
      <w:pPr>
        <w:tabs>
          <w:tab w:val="num" w:pos="0"/>
          <w:tab w:val="left" w:pos="567"/>
        </w:tabs>
        <w:jc w:val="both"/>
        <w:rPr>
          <w:rFonts w:ascii="Arial" w:hAnsi="Arial" w:cs="Arial"/>
          <w:sz w:val="22"/>
          <w:szCs w:val="22"/>
        </w:rPr>
      </w:pPr>
      <w:r w:rsidRPr="007632E7">
        <w:rPr>
          <w:rFonts w:ascii="Arial" w:hAnsi="Arial" w:cs="Arial"/>
          <w:sz w:val="22"/>
          <w:szCs w:val="22"/>
        </w:rPr>
        <w:t>60</w:t>
      </w:r>
      <w:r>
        <w:rPr>
          <w:rFonts w:ascii="Arial" w:hAnsi="Arial" w:cs="Arial"/>
          <w:color w:val="0070C0"/>
          <w:sz w:val="22"/>
          <w:szCs w:val="22"/>
        </w:rPr>
        <w:t>.</w:t>
      </w:r>
      <w:r w:rsidR="00EC3282">
        <w:rPr>
          <w:rFonts w:ascii="Arial" w:hAnsi="Arial" w:cs="Arial"/>
          <w:color w:val="0070C0"/>
          <w:sz w:val="22"/>
          <w:szCs w:val="22"/>
        </w:rPr>
        <w:t xml:space="preserve">. </w:t>
      </w:r>
      <w:r w:rsidR="00782D7C">
        <w:rPr>
          <w:rFonts w:ascii="Arial" w:hAnsi="Arial" w:cs="Arial"/>
          <w:sz w:val="22"/>
          <w:szCs w:val="22"/>
        </w:rPr>
        <w:t>The UK Government would not have taken such draconian steps as to shut down the country on three separate occasions had it not been persuaded</w:t>
      </w:r>
      <w:r w:rsidR="00FE2624">
        <w:rPr>
          <w:rFonts w:ascii="Arial" w:hAnsi="Arial" w:cs="Arial"/>
          <w:sz w:val="22"/>
          <w:szCs w:val="22"/>
        </w:rPr>
        <w:t>,</w:t>
      </w:r>
      <w:r w:rsidR="00782D7C">
        <w:rPr>
          <w:rFonts w:ascii="Arial" w:hAnsi="Arial" w:cs="Arial"/>
          <w:sz w:val="22"/>
          <w:szCs w:val="22"/>
        </w:rPr>
        <w:t xml:space="preserve"> on the available evidence</w:t>
      </w:r>
      <w:r w:rsidR="00FE2624">
        <w:rPr>
          <w:rFonts w:ascii="Arial" w:hAnsi="Arial" w:cs="Arial"/>
          <w:sz w:val="22"/>
          <w:szCs w:val="22"/>
        </w:rPr>
        <w:t>,</w:t>
      </w:r>
      <w:r w:rsidR="00782D7C">
        <w:rPr>
          <w:rFonts w:ascii="Arial" w:hAnsi="Arial" w:cs="Arial"/>
          <w:sz w:val="22"/>
          <w:szCs w:val="22"/>
        </w:rPr>
        <w:t xml:space="preserve"> that COVID-19 presented </w:t>
      </w:r>
      <w:r w:rsidR="00782D7C" w:rsidRPr="001E52D2">
        <w:rPr>
          <w:rFonts w:ascii="Arial" w:hAnsi="Arial" w:cs="Arial"/>
          <w:sz w:val="22"/>
          <w:szCs w:val="22"/>
        </w:rPr>
        <w:t>a</w:t>
      </w:r>
      <w:r w:rsidR="00D44CFA">
        <w:rPr>
          <w:rFonts w:ascii="Arial" w:hAnsi="Arial" w:cs="Arial"/>
          <w:sz w:val="22"/>
          <w:szCs w:val="22"/>
        </w:rPr>
        <w:t xml:space="preserve"> real,</w:t>
      </w:r>
      <w:r w:rsidR="00782D7C" w:rsidRPr="001E52D2">
        <w:rPr>
          <w:rFonts w:ascii="Arial" w:hAnsi="Arial" w:cs="Arial"/>
          <w:sz w:val="22"/>
          <w:szCs w:val="22"/>
        </w:rPr>
        <w:t xml:space="preserve"> immediate </w:t>
      </w:r>
      <w:r w:rsidR="00782D7C">
        <w:rPr>
          <w:rFonts w:ascii="Arial" w:hAnsi="Arial" w:cs="Arial"/>
          <w:sz w:val="22"/>
          <w:szCs w:val="22"/>
        </w:rPr>
        <w:t xml:space="preserve">and serious </w:t>
      </w:r>
      <w:r w:rsidR="00782D7C" w:rsidRPr="001E52D2">
        <w:rPr>
          <w:rFonts w:ascii="Arial" w:hAnsi="Arial" w:cs="Arial"/>
          <w:sz w:val="22"/>
          <w:szCs w:val="22"/>
        </w:rPr>
        <w:t>risk</w:t>
      </w:r>
      <w:r w:rsidR="00782D7C">
        <w:rPr>
          <w:rFonts w:ascii="Arial" w:hAnsi="Arial" w:cs="Arial"/>
          <w:sz w:val="22"/>
          <w:szCs w:val="22"/>
        </w:rPr>
        <w:t xml:space="preserve"> to </w:t>
      </w:r>
      <w:r w:rsidR="00782D7C" w:rsidRPr="00D44CFA">
        <w:rPr>
          <w:rFonts w:ascii="Arial" w:hAnsi="Arial" w:cs="Arial"/>
          <w:sz w:val="22"/>
          <w:szCs w:val="22"/>
        </w:rPr>
        <w:t>everyone.</w:t>
      </w:r>
      <w:r w:rsidR="00782D7C">
        <w:rPr>
          <w:rFonts w:ascii="Arial" w:hAnsi="Arial" w:cs="Arial"/>
          <w:sz w:val="22"/>
          <w:szCs w:val="22"/>
        </w:rPr>
        <w:t xml:space="preserve"> </w:t>
      </w:r>
      <w:r w:rsidR="00782D7C" w:rsidRPr="00A4399B">
        <w:rPr>
          <w:rFonts w:ascii="Arial" w:hAnsi="Arial" w:cs="Arial"/>
          <w:sz w:val="22"/>
          <w:szCs w:val="22"/>
        </w:rPr>
        <w:t>In my judgment, th</w:t>
      </w:r>
      <w:r w:rsidR="00782D7C">
        <w:rPr>
          <w:rFonts w:ascii="Arial" w:hAnsi="Arial" w:cs="Arial"/>
          <w:sz w:val="22"/>
          <w:szCs w:val="22"/>
        </w:rPr>
        <w:t xml:space="preserve">at </w:t>
      </w:r>
      <w:r w:rsidR="00782D7C" w:rsidRPr="00A4399B">
        <w:rPr>
          <w:rFonts w:ascii="Arial" w:hAnsi="Arial" w:cs="Arial"/>
          <w:sz w:val="22"/>
          <w:szCs w:val="22"/>
        </w:rPr>
        <w:t xml:space="preserve">is powerful evidence. The </w:t>
      </w:r>
      <w:r w:rsidR="006F3086">
        <w:rPr>
          <w:rFonts w:ascii="Arial" w:hAnsi="Arial" w:cs="Arial"/>
          <w:sz w:val="22"/>
          <w:szCs w:val="22"/>
        </w:rPr>
        <w:t>State’s</w:t>
      </w:r>
      <w:r w:rsidR="00782D7C" w:rsidRPr="00A4399B">
        <w:rPr>
          <w:rFonts w:ascii="Arial" w:hAnsi="Arial" w:cs="Arial"/>
          <w:sz w:val="22"/>
          <w:szCs w:val="22"/>
        </w:rPr>
        <w:t xml:space="preserve"> positive obligation is to protect </w:t>
      </w:r>
      <w:r w:rsidR="00782D7C" w:rsidRPr="00A4399B">
        <w:rPr>
          <w:rFonts w:ascii="Arial" w:hAnsi="Arial" w:cs="Arial"/>
          <w:i/>
          <w:sz w:val="22"/>
          <w:szCs w:val="22"/>
        </w:rPr>
        <w:t>everyone</w:t>
      </w:r>
      <w:r w:rsidR="00782D7C" w:rsidRPr="00A4399B">
        <w:rPr>
          <w:rFonts w:ascii="Arial" w:hAnsi="Arial" w:cs="Arial"/>
          <w:sz w:val="22"/>
          <w:szCs w:val="22"/>
        </w:rPr>
        <w:t xml:space="preserve"> in its territory. This includes</w:t>
      </w:r>
      <w:r w:rsidR="00A1333A">
        <w:rPr>
          <w:rFonts w:ascii="Arial" w:hAnsi="Arial" w:cs="Arial"/>
          <w:sz w:val="22"/>
          <w:szCs w:val="22"/>
        </w:rPr>
        <w:t>, for example,</w:t>
      </w:r>
      <w:r w:rsidR="00782D7C" w:rsidRPr="00A4399B">
        <w:rPr>
          <w:rFonts w:ascii="Arial" w:hAnsi="Arial" w:cs="Arial"/>
          <w:sz w:val="22"/>
          <w:szCs w:val="22"/>
        </w:rPr>
        <w:t xml:space="preserve"> those </w:t>
      </w:r>
      <w:r w:rsidR="00BC5F05">
        <w:rPr>
          <w:rFonts w:ascii="Arial" w:hAnsi="Arial" w:cs="Arial"/>
          <w:sz w:val="22"/>
          <w:szCs w:val="22"/>
        </w:rPr>
        <w:t xml:space="preserve">lawfully </w:t>
      </w:r>
      <w:r w:rsidR="00782D7C" w:rsidRPr="00A4399B">
        <w:rPr>
          <w:rFonts w:ascii="Arial" w:hAnsi="Arial" w:cs="Arial"/>
          <w:sz w:val="22"/>
          <w:szCs w:val="22"/>
        </w:rPr>
        <w:t xml:space="preserve">detained in prisons but also, </w:t>
      </w:r>
      <w:r w:rsidR="005739CE">
        <w:rPr>
          <w:rFonts w:ascii="Arial" w:hAnsi="Arial" w:cs="Arial"/>
          <w:sz w:val="22"/>
          <w:szCs w:val="22"/>
        </w:rPr>
        <w:t>failed asylum seekers with</w:t>
      </w:r>
      <w:r w:rsidR="00782D7C" w:rsidRPr="00A4399B">
        <w:rPr>
          <w:rFonts w:ascii="Arial" w:hAnsi="Arial" w:cs="Arial"/>
          <w:sz w:val="22"/>
          <w:szCs w:val="22"/>
        </w:rPr>
        <w:t xml:space="preserve"> no lawful basis to remain in the </w:t>
      </w:r>
      <w:r w:rsidR="00782D7C">
        <w:rPr>
          <w:rFonts w:ascii="Arial" w:hAnsi="Arial" w:cs="Arial"/>
          <w:sz w:val="22"/>
          <w:szCs w:val="22"/>
        </w:rPr>
        <w:t>UK</w:t>
      </w:r>
      <w:r w:rsidR="00BC5F05">
        <w:rPr>
          <w:rFonts w:ascii="Arial" w:hAnsi="Arial" w:cs="Arial"/>
          <w:sz w:val="22"/>
          <w:szCs w:val="22"/>
        </w:rPr>
        <w:t xml:space="preserve">, </w:t>
      </w:r>
      <w:r w:rsidR="00782D7C" w:rsidRPr="00A4399B">
        <w:rPr>
          <w:rFonts w:ascii="Arial" w:hAnsi="Arial" w:cs="Arial"/>
          <w:sz w:val="22"/>
          <w:szCs w:val="22"/>
        </w:rPr>
        <w:t xml:space="preserve">who should return to their countries </w:t>
      </w:r>
      <w:r w:rsidR="00782D7C">
        <w:rPr>
          <w:rFonts w:ascii="Arial" w:hAnsi="Arial" w:cs="Arial"/>
          <w:sz w:val="22"/>
          <w:szCs w:val="22"/>
        </w:rPr>
        <w:t xml:space="preserve">of origin </w:t>
      </w:r>
      <w:r w:rsidR="00782D7C" w:rsidRPr="00A4399B">
        <w:rPr>
          <w:rFonts w:ascii="Arial" w:hAnsi="Arial" w:cs="Arial"/>
          <w:sz w:val="22"/>
          <w:szCs w:val="22"/>
        </w:rPr>
        <w:t>once they have exhausted their appeal rights</w:t>
      </w:r>
      <w:r w:rsidR="00782D7C">
        <w:rPr>
          <w:rFonts w:ascii="Arial" w:hAnsi="Arial" w:cs="Arial"/>
          <w:sz w:val="22"/>
          <w:szCs w:val="22"/>
        </w:rPr>
        <w:t>, but who have not done so</w:t>
      </w:r>
      <w:r w:rsidR="00782D7C" w:rsidRPr="00A4399B">
        <w:rPr>
          <w:rFonts w:ascii="Arial" w:hAnsi="Arial" w:cs="Arial"/>
          <w:sz w:val="22"/>
          <w:szCs w:val="22"/>
        </w:rPr>
        <w:t xml:space="preserve">. </w:t>
      </w:r>
      <w:r w:rsidR="003E67A6">
        <w:rPr>
          <w:rFonts w:ascii="Arial" w:hAnsi="Arial" w:cs="Arial"/>
          <w:sz w:val="22"/>
          <w:szCs w:val="22"/>
        </w:rPr>
        <w:t>B</w:t>
      </w:r>
      <w:r w:rsidR="00782D7C" w:rsidRPr="00A4399B">
        <w:rPr>
          <w:rFonts w:ascii="Arial" w:hAnsi="Arial" w:cs="Arial"/>
          <w:sz w:val="22"/>
          <w:szCs w:val="22"/>
        </w:rPr>
        <w:t xml:space="preserve">ased on </w:t>
      </w:r>
      <w:r w:rsidR="00D15F53" w:rsidRPr="00A4399B">
        <w:rPr>
          <w:rFonts w:ascii="Arial" w:hAnsi="Arial" w:cs="Arial"/>
          <w:sz w:val="22"/>
          <w:szCs w:val="22"/>
        </w:rPr>
        <w:t xml:space="preserve">Professor Coker’s </w:t>
      </w:r>
      <w:r w:rsidR="00D15F53">
        <w:rPr>
          <w:rFonts w:ascii="Arial" w:hAnsi="Arial" w:cs="Arial"/>
          <w:sz w:val="22"/>
          <w:szCs w:val="22"/>
        </w:rPr>
        <w:t xml:space="preserve">expert </w:t>
      </w:r>
      <w:r w:rsidR="00782D7C" w:rsidRPr="00A4399B">
        <w:rPr>
          <w:rFonts w:ascii="Arial" w:hAnsi="Arial" w:cs="Arial"/>
          <w:sz w:val="22"/>
          <w:szCs w:val="22"/>
        </w:rPr>
        <w:t xml:space="preserve">findings, </w:t>
      </w:r>
      <w:r w:rsidR="00091E24">
        <w:rPr>
          <w:rFonts w:ascii="Arial" w:hAnsi="Arial" w:cs="Arial"/>
          <w:sz w:val="22"/>
          <w:szCs w:val="22"/>
        </w:rPr>
        <w:t xml:space="preserve">persons of </w:t>
      </w:r>
      <w:r w:rsidR="00782D7C">
        <w:rPr>
          <w:rFonts w:ascii="Arial" w:hAnsi="Arial" w:cs="Arial"/>
          <w:sz w:val="22"/>
          <w:szCs w:val="22"/>
        </w:rPr>
        <w:t>B</w:t>
      </w:r>
      <w:r w:rsidR="00782D7C" w:rsidRPr="00A4399B">
        <w:rPr>
          <w:rFonts w:ascii="Arial" w:hAnsi="Arial" w:cs="Arial"/>
          <w:sz w:val="22"/>
          <w:szCs w:val="22"/>
        </w:rPr>
        <w:t xml:space="preserve">lack or Asian ethnicity </w:t>
      </w:r>
      <w:r w:rsidR="00782D7C">
        <w:rPr>
          <w:rFonts w:ascii="Arial" w:hAnsi="Arial" w:cs="Arial"/>
          <w:sz w:val="22"/>
          <w:szCs w:val="22"/>
        </w:rPr>
        <w:t xml:space="preserve">(as most asylum seekers and failed asylum seekers tend to be) </w:t>
      </w:r>
      <w:r w:rsidR="00091E24">
        <w:rPr>
          <w:rFonts w:ascii="Arial" w:hAnsi="Arial" w:cs="Arial"/>
          <w:sz w:val="22"/>
          <w:szCs w:val="22"/>
        </w:rPr>
        <w:t xml:space="preserve">are at greater risk from </w:t>
      </w:r>
      <w:r w:rsidR="00091E24" w:rsidRPr="00A4399B">
        <w:rPr>
          <w:rFonts w:ascii="Arial" w:hAnsi="Arial" w:cs="Arial"/>
          <w:sz w:val="22"/>
          <w:szCs w:val="22"/>
        </w:rPr>
        <w:t>COVID-19,</w:t>
      </w:r>
      <w:r w:rsidR="004B7278">
        <w:rPr>
          <w:rFonts w:ascii="Arial" w:hAnsi="Arial" w:cs="Arial"/>
          <w:sz w:val="22"/>
          <w:szCs w:val="22"/>
        </w:rPr>
        <w:t xml:space="preserve"> and that risk is magnified whe</w:t>
      </w:r>
      <w:r w:rsidR="00D44CFA">
        <w:rPr>
          <w:rFonts w:ascii="Arial" w:hAnsi="Arial" w:cs="Arial"/>
          <w:sz w:val="22"/>
          <w:szCs w:val="22"/>
        </w:rPr>
        <w:t>n</w:t>
      </w:r>
      <w:r w:rsidR="004B7278">
        <w:rPr>
          <w:rFonts w:ascii="Arial" w:hAnsi="Arial" w:cs="Arial"/>
          <w:sz w:val="22"/>
          <w:szCs w:val="22"/>
        </w:rPr>
        <w:t xml:space="preserve"> they are</w:t>
      </w:r>
      <w:r w:rsidR="00782D7C" w:rsidRPr="00A4399B">
        <w:rPr>
          <w:rFonts w:ascii="Arial" w:hAnsi="Arial" w:cs="Arial"/>
          <w:sz w:val="22"/>
          <w:szCs w:val="22"/>
        </w:rPr>
        <w:t xml:space="preserve"> forced to live in overcrowded accommodation</w:t>
      </w:r>
      <w:r w:rsidR="00782D7C">
        <w:rPr>
          <w:rFonts w:ascii="Arial" w:hAnsi="Arial" w:cs="Arial"/>
          <w:sz w:val="22"/>
          <w:szCs w:val="22"/>
        </w:rPr>
        <w:t>, in</w:t>
      </w:r>
      <w:r w:rsidR="00782D7C" w:rsidRPr="00A4399B">
        <w:rPr>
          <w:rFonts w:ascii="Arial" w:hAnsi="Arial" w:cs="Arial"/>
          <w:sz w:val="22"/>
          <w:szCs w:val="22"/>
        </w:rPr>
        <w:t xml:space="preserve"> homeless shelters </w:t>
      </w:r>
      <w:r w:rsidR="00782D7C">
        <w:rPr>
          <w:rFonts w:ascii="Arial" w:hAnsi="Arial" w:cs="Arial"/>
          <w:sz w:val="22"/>
          <w:szCs w:val="22"/>
        </w:rPr>
        <w:t xml:space="preserve">or on the streets </w:t>
      </w:r>
      <w:r w:rsidR="00782D7C" w:rsidRPr="00A4399B">
        <w:rPr>
          <w:rFonts w:ascii="Arial" w:hAnsi="Arial" w:cs="Arial"/>
          <w:sz w:val="22"/>
          <w:szCs w:val="22"/>
        </w:rPr>
        <w:t xml:space="preserve">due to being refused section 4(2) support. </w:t>
      </w:r>
    </w:p>
    <w:p w14:paraId="54725EDA" w14:textId="77777777" w:rsidR="002360C3" w:rsidRDefault="002360C3" w:rsidP="00652ADB">
      <w:pPr>
        <w:tabs>
          <w:tab w:val="num" w:pos="0"/>
        </w:tabs>
        <w:jc w:val="both"/>
        <w:rPr>
          <w:rFonts w:ascii="Arial" w:hAnsi="Arial" w:cs="Arial"/>
          <w:sz w:val="22"/>
          <w:szCs w:val="22"/>
        </w:rPr>
      </w:pPr>
    </w:p>
    <w:p w14:paraId="5D85D95D" w14:textId="3C483E0D" w:rsidR="00A3560F" w:rsidRPr="00D44CFA" w:rsidRDefault="00451F18" w:rsidP="00451F18">
      <w:pPr>
        <w:tabs>
          <w:tab w:val="num" w:pos="0"/>
          <w:tab w:val="left" w:pos="567"/>
        </w:tabs>
        <w:jc w:val="both"/>
        <w:rPr>
          <w:rFonts w:ascii="Arial" w:hAnsi="Arial" w:cs="Arial"/>
          <w:sz w:val="22"/>
          <w:szCs w:val="22"/>
        </w:rPr>
      </w:pPr>
      <w:r>
        <w:rPr>
          <w:rFonts w:ascii="Arial" w:hAnsi="Arial" w:cs="Arial"/>
          <w:sz w:val="22"/>
          <w:szCs w:val="22"/>
        </w:rPr>
        <w:t>61</w:t>
      </w:r>
      <w:r w:rsidR="002360C3">
        <w:rPr>
          <w:rFonts w:ascii="Arial" w:hAnsi="Arial" w:cs="Arial"/>
          <w:sz w:val="22"/>
          <w:szCs w:val="22"/>
        </w:rPr>
        <w:t>.</w:t>
      </w:r>
      <w:r w:rsidR="002360C3">
        <w:rPr>
          <w:rFonts w:ascii="Arial" w:hAnsi="Arial" w:cs="Arial"/>
          <w:sz w:val="22"/>
          <w:szCs w:val="22"/>
        </w:rPr>
        <w:tab/>
      </w:r>
      <w:r w:rsidR="00E5145B" w:rsidRPr="00D44CFA">
        <w:rPr>
          <w:rFonts w:ascii="Arial" w:hAnsi="Arial" w:cs="Arial"/>
          <w:sz w:val="22"/>
          <w:szCs w:val="22"/>
        </w:rPr>
        <w:t>I note that the Strasbourg Court has recognised in the Article 8 context that adverse consequences</w:t>
      </w:r>
      <w:r w:rsidR="00AF2204" w:rsidRPr="00D44CFA">
        <w:rPr>
          <w:rFonts w:ascii="Arial" w:hAnsi="Arial" w:cs="Arial"/>
          <w:sz w:val="22"/>
          <w:szCs w:val="22"/>
        </w:rPr>
        <w:t xml:space="preserve"> for health and human dignity that effectively erode the core o</w:t>
      </w:r>
      <w:r w:rsidR="000A161D" w:rsidRPr="00D44CFA">
        <w:rPr>
          <w:rFonts w:ascii="Arial" w:hAnsi="Arial" w:cs="Arial"/>
          <w:sz w:val="22"/>
          <w:szCs w:val="22"/>
        </w:rPr>
        <w:t>f</w:t>
      </w:r>
      <w:r w:rsidR="00AF2204" w:rsidRPr="00D44CFA">
        <w:rPr>
          <w:rFonts w:ascii="Arial" w:hAnsi="Arial" w:cs="Arial"/>
          <w:sz w:val="22"/>
          <w:szCs w:val="22"/>
        </w:rPr>
        <w:t xml:space="preserve"> private life and the enjoyment of a home can </w:t>
      </w:r>
      <w:r w:rsidR="0070581C" w:rsidRPr="00D44CFA">
        <w:rPr>
          <w:rFonts w:ascii="Arial" w:hAnsi="Arial" w:cs="Arial"/>
          <w:sz w:val="22"/>
          <w:szCs w:val="22"/>
        </w:rPr>
        <w:t xml:space="preserve">also </w:t>
      </w:r>
      <w:r w:rsidR="00AF2204" w:rsidRPr="00D44CFA">
        <w:rPr>
          <w:rFonts w:ascii="Arial" w:hAnsi="Arial" w:cs="Arial"/>
          <w:sz w:val="22"/>
          <w:szCs w:val="22"/>
        </w:rPr>
        <w:t xml:space="preserve">trigger a State’s </w:t>
      </w:r>
      <w:r w:rsidR="00861A59" w:rsidRPr="00D44CFA">
        <w:rPr>
          <w:rFonts w:ascii="Arial" w:hAnsi="Arial" w:cs="Arial"/>
          <w:sz w:val="22"/>
          <w:szCs w:val="22"/>
        </w:rPr>
        <w:t>positive obligations, depending on the specific</w:t>
      </w:r>
      <w:r w:rsidR="0082545B" w:rsidRPr="00D44CFA">
        <w:rPr>
          <w:rFonts w:ascii="Arial" w:hAnsi="Arial" w:cs="Arial"/>
          <w:sz w:val="22"/>
          <w:szCs w:val="22"/>
        </w:rPr>
        <w:t xml:space="preserve"> circumstances of the case and their level of seriousness: see e.g. </w:t>
      </w:r>
      <w:r w:rsidR="00A97DFE" w:rsidRPr="00D44CFA">
        <w:rPr>
          <w:rFonts w:ascii="Arial" w:hAnsi="Arial" w:cs="Arial"/>
          <w:i/>
          <w:sz w:val="22"/>
          <w:szCs w:val="22"/>
        </w:rPr>
        <w:t>Hudo</w:t>
      </w:r>
      <w:r w:rsidR="00811CDB" w:rsidRPr="00D44CFA">
        <w:rPr>
          <w:rFonts w:ascii="Arial" w:hAnsi="Arial" w:cs="Arial"/>
          <w:i/>
          <w:sz w:val="22"/>
          <w:szCs w:val="22"/>
        </w:rPr>
        <w:t>rovic and Others v Slov</w:t>
      </w:r>
      <w:r w:rsidR="009D5DC3" w:rsidRPr="00D44CFA">
        <w:rPr>
          <w:rFonts w:ascii="Arial" w:hAnsi="Arial" w:cs="Arial"/>
          <w:i/>
          <w:sz w:val="22"/>
          <w:szCs w:val="22"/>
        </w:rPr>
        <w:t>e</w:t>
      </w:r>
      <w:r w:rsidR="00811CDB" w:rsidRPr="00D44CFA">
        <w:rPr>
          <w:rFonts w:ascii="Arial" w:hAnsi="Arial" w:cs="Arial"/>
          <w:i/>
          <w:sz w:val="22"/>
          <w:szCs w:val="22"/>
        </w:rPr>
        <w:t>nia</w:t>
      </w:r>
      <w:r w:rsidR="00811CDB" w:rsidRPr="00D44CFA">
        <w:rPr>
          <w:rFonts w:ascii="Arial" w:hAnsi="Arial" w:cs="Arial"/>
          <w:sz w:val="22"/>
          <w:szCs w:val="22"/>
        </w:rPr>
        <w:t xml:space="preserve"> [</w:t>
      </w:r>
      <w:r w:rsidR="009D5DC3" w:rsidRPr="00D44CFA">
        <w:rPr>
          <w:rFonts w:ascii="Arial" w:hAnsi="Arial" w:cs="Arial"/>
          <w:sz w:val="22"/>
          <w:szCs w:val="22"/>
        </w:rPr>
        <w:t xml:space="preserve">at </w:t>
      </w:r>
      <w:r w:rsidR="00811CDB" w:rsidRPr="00D44CFA">
        <w:rPr>
          <w:rFonts w:ascii="Arial" w:hAnsi="Arial" w:cs="Arial"/>
          <w:sz w:val="22"/>
          <w:szCs w:val="22"/>
        </w:rPr>
        <w:t xml:space="preserve">116, </w:t>
      </w:r>
      <w:r w:rsidR="000332AF" w:rsidRPr="00D44CFA">
        <w:rPr>
          <w:rFonts w:ascii="Arial" w:hAnsi="Arial" w:cs="Arial"/>
          <w:sz w:val="22"/>
          <w:szCs w:val="22"/>
        </w:rPr>
        <w:t xml:space="preserve">145 -146 and </w:t>
      </w:r>
      <w:r w:rsidR="00811CDB" w:rsidRPr="00D44CFA">
        <w:rPr>
          <w:rFonts w:ascii="Arial" w:hAnsi="Arial" w:cs="Arial"/>
          <w:sz w:val="22"/>
          <w:szCs w:val="22"/>
        </w:rPr>
        <w:t>158</w:t>
      </w:r>
      <w:r w:rsidR="009D5DC3" w:rsidRPr="00D44CFA">
        <w:rPr>
          <w:rFonts w:ascii="Arial" w:hAnsi="Arial" w:cs="Arial"/>
          <w:sz w:val="22"/>
          <w:szCs w:val="22"/>
        </w:rPr>
        <w:t>].</w:t>
      </w:r>
    </w:p>
    <w:p w14:paraId="14D6E83B" w14:textId="77777777" w:rsidR="00A3560F" w:rsidRPr="00A4399B" w:rsidRDefault="00A3560F" w:rsidP="00652ADB">
      <w:pPr>
        <w:tabs>
          <w:tab w:val="num" w:pos="0"/>
        </w:tabs>
        <w:jc w:val="both"/>
        <w:rPr>
          <w:rFonts w:ascii="Arial" w:hAnsi="Arial" w:cs="Arial"/>
          <w:sz w:val="22"/>
          <w:szCs w:val="22"/>
        </w:rPr>
      </w:pPr>
    </w:p>
    <w:p w14:paraId="236DEF25" w14:textId="3ECB7252" w:rsidR="00BB1BFB" w:rsidRPr="007632E7" w:rsidRDefault="00451F18" w:rsidP="00451F18">
      <w:pPr>
        <w:tabs>
          <w:tab w:val="num" w:pos="0"/>
          <w:tab w:val="left" w:pos="567"/>
        </w:tabs>
        <w:jc w:val="both"/>
        <w:rPr>
          <w:rFonts w:ascii="Arial" w:hAnsi="Arial" w:cs="Arial"/>
          <w:sz w:val="22"/>
          <w:szCs w:val="22"/>
        </w:rPr>
      </w:pPr>
      <w:r>
        <w:rPr>
          <w:rFonts w:ascii="Arial" w:hAnsi="Arial" w:cs="Arial"/>
          <w:sz w:val="22"/>
          <w:szCs w:val="22"/>
        </w:rPr>
        <w:t>62</w:t>
      </w:r>
      <w:r w:rsidR="00A3560F" w:rsidRPr="00A4399B">
        <w:rPr>
          <w:rFonts w:ascii="Arial" w:hAnsi="Arial" w:cs="Arial"/>
          <w:sz w:val="22"/>
          <w:szCs w:val="22"/>
        </w:rPr>
        <w:t>.</w:t>
      </w:r>
      <w:r w:rsidR="00A3560F" w:rsidRPr="00A4399B">
        <w:rPr>
          <w:rFonts w:ascii="Arial" w:hAnsi="Arial" w:cs="Arial"/>
          <w:sz w:val="22"/>
          <w:szCs w:val="22"/>
        </w:rPr>
        <w:tab/>
      </w:r>
      <w:r w:rsidR="00DD6096" w:rsidRPr="007632E7">
        <w:rPr>
          <w:rFonts w:ascii="Arial" w:hAnsi="Arial" w:cs="Arial"/>
          <w:sz w:val="22"/>
          <w:szCs w:val="22"/>
        </w:rPr>
        <w:t xml:space="preserve">The issue </w:t>
      </w:r>
      <w:r w:rsidR="00F008AC" w:rsidRPr="007632E7">
        <w:rPr>
          <w:rFonts w:ascii="Arial" w:hAnsi="Arial" w:cs="Arial"/>
          <w:i/>
          <w:sz w:val="22"/>
          <w:szCs w:val="22"/>
        </w:rPr>
        <w:t>in this case</w:t>
      </w:r>
      <w:r w:rsidR="00F008AC" w:rsidRPr="007632E7">
        <w:rPr>
          <w:rFonts w:ascii="Arial" w:hAnsi="Arial" w:cs="Arial"/>
          <w:sz w:val="22"/>
          <w:szCs w:val="22"/>
        </w:rPr>
        <w:t xml:space="preserve">, </w:t>
      </w:r>
      <w:r w:rsidR="00DD6096" w:rsidRPr="007632E7">
        <w:rPr>
          <w:rFonts w:ascii="Arial" w:hAnsi="Arial" w:cs="Arial"/>
          <w:sz w:val="22"/>
          <w:szCs w:val="22"/>
        </w:rPr>
        <w:t xml:space="preserve">is not the practicality of providing such protection, but only of ensuring that no section of the public is excluded from such protection. There is an obvious and proportionate measure that the </w:t>
      </w:r>
      <w:r w:rsidR="00BC5A2D" w:rsidRPr="007632E7">
        <w:rPr>
          <w:rFonts w:ascii="Arial" w:hAnsi="Arial" w:cs="Arial"/>
          <w:sz w:val="22"/>
          <w:szCs w:val="22"/>
        </w:rPr>
        <w:t>SSHD</w:t>
      </w:r>
      <w:r w:rsidR="00876EC6" w:rsidRPr="007632E7">
        <w:rPr>
          <w:rFonts w:ascii="Arial" w:hAnsi="Arial" w:cs="Arial"/>
          <w:sz w:val="22"/>
          <w:szCs w:val="22"/>
        </w:rPr>
        <w:t xml:space="preserve"> is</w:t>
      </w:r>
      <w:r w:rsidR="00DD6096" w:rsidRPr="007632E7">
        <w:rPr>
          <w:rFonts w:ascii="Arial" w:hAnsi="Arial" w:cs="Arial"/>
          <w:sz w:val="22"/>
          <w:szCs w:val="22"/>
        </w:rPr>
        <w:t xml:space="preserve"> able to take to avoid a breach of her positive obligation</w:t>
      </w:r>
      <w:r w:rsidR="00D44CFA" w:rsidRPr="007632E7">
        <w:rPr>
          <w:rFonts w:ascii="Arial" w:hAnsi="Arial" w:cs="Arial"/>
          <w:sz w:val="22"/>
          <w:szCs w:val="22"/>
        </w:rPr>
        <w:t>s</w:t>
      </w:r>
      <w:r w:rsidR="00DD6096" w:rsidRPr="007632E7">
        <w:rPr>
          <w:rFonts w:ascii="Arial" w:hAnsi="Arial" w:cs="Arial"/>
          <w:sz w:val="22"/>
          <w:szCs w:val="22"/>
        </w:rPr>
        <w:t xml:space="preserve"> to protect, namely providing s</w:t>
      </w:r>
      <w:r w:rsidR="008A213F" w:rsidRPr="007632E7">
        <w:rPr>
          <w:rFonts w:ascii="Arial" w:hAnsi="Arial" w:cs="Arial"/>
          <w:sz w:val="22"/>
          <w:szCs w:val="22"/>
        </w:rPr>
        <w:t xml:space="preserve">ection </w:t>
      </w:r>
      <w:r w:rsidR="00DD6096" w:rsidRPr="007632E7">
        <w:rPr>
          <w:rFonts w:ascii="Arial" w:hAnsi="Arial" w:cs="Arial"/>
          <w:sz w:val="22"/>
          <w:szCs w:val="22"/>
        </w:rPr>
        <w:t xml:space="preserve">4 support so as to ensure that the appellant, a failed asylum seeker, is not made street homeless and thereby unable to avoid exposure to the virus in the same way as persons living in accommodation. </w:t>
      </w:r>
      <w:r w:rsidR="00652ADB" w:rsidRPr="007632E7">
        <w:rPr>
          <w:rFonts w:ascii="Arial" w:hAnsi="Arial" w:cs="Arial"/>
          <w:sz w:val="22"/>
          <w:szCs w:val="22"/>
        </w:rPr>
        <w:t>T</w:t>
      </w:r>
      <w:r w:rsidR="0010755E" w:rsidRPr="007632E7">
        <w:rPr>
          <w:rFonts w:ascii="Arial" w:hAnsi="Arial" w:cs="Arial"/>
          <w:sz w:val="22"/>
          <w:szCs w:val="22"/>
        </w:rPr>
        <w:t>he public interest consider</w:t>
      </w:r>
      <w:r w:rsidR="00652ADB" w:rsidRPr="007632E7">
        <w:rPr>
          <w:rFonts w:ascii="Arial" w:hAnsi="Arial" w:cs="Arial"/>
          <w:sz w:val="22"/>
          <w:szCs w:val="22"/>
        </w:rPr>
        <w:t>a</w:t>
      </w:r>
      <w:r w:rsidR="0010755E" w:rsidRPr="007632E7">
        <w:rPr>
          <w:rFonts w:ascii="Arial" w:hAnsi="Arial" w:cs="Arial"/>
          <w:sz w:val="22"/>
          <w:szCs w:val="22"/>
        </w:rPr>
        <w:t xml:space="preserve">tions </w:t>
      </w:r>
      <w:r w:rsidR="004A0E59" w:rsidRPr="007632E7">
        <w:rPr>
          <w:rFonts w:ascii="Arial" w:hAnsi="Arial" w:cs="Arial"/>
          <w:sz w:val="22"/>
          <w:szCs w:val="22"/>
        </w:rPr>
        <w:t xml:space="preserve">referred to by Ms Idelbi in her submissions, </w:t>
      </w:r>
      <w:r w:rsidR="00336F53" w:rsidRPr="007632E7">
        <w:rPr>
          <w:rFonts w:ascii="Arial" w:hAnsi="Arial" w:cs="Arial"/>
          <w:sz w:val="22"/>
          <w:szCs w:val="22"/>
        </w:rPr>
        <w:t>namely</w:t>
      </w:r>
      <w:r w:rsidR="0016505A" w:rsidRPr="007632E7">
        <w:rPr>
          <w:rFonts w:ascii="Arial" w:hAnsi="Arial" w:cs="Arial"/>
          <w:sz w:val="22"/>
          <w:szCs w:val="22"/>
        </w:rPr>
        <w:t xml:space="preserve"> the maintenance of effective immigration control</w:t>
      </w:r>
      <w:r w:rsidR="00AB0417" w:rsidRPr="007632E7">
        <w:rPr>
          <w:rFonts w:ascii="Arial" w:hAnsi="Arial" w:cs="Arial"/>
          <w:sz w:val="22"/>
          <w:szCs w:val="22"/>
        </w:rPr>
        <w:t xml:space="preserve"> and providing accommodation to persons </w:t>
      </w:r>
      <w:r w:rsidR="003E2C19" w:rsidRPr="007632E7">
        <w:rPr>
          <w:rFonts w:ascii="Arial" w:hAnsi="Arial" w:cs="Arial"/>
          <w:sz w:val="22"/>
          <w:szCs w:val="22"/>
        </w:rPr>
        <w:t xml:space="preserve">who </w:t>
      </w:r>
      <w:r w:rsidR="009A7C09" w:rsidRPr="007632E7">
        <w:rPr>
          <w:rFonts w:ascii="Arial" w:hAnsi="Arial" w:cs="Arial"/>
          <w:sz w:val="22"/>
          <w:szCs w:val="22"/>
        </w:rPr>
        <w:t xml:space="preserve">are </w:t>
      </w:r>
      <w:r w:rsidR="00AB0417" w:rsidRPr="007632E7">
        <w:rPr>
          <w:rFonts w:ascii="Arial" w:hAnsi="Arial" w:cs="Arial"/>
          <w:sz w:val="22"/>
          <w:szCs w:val="22"/>
        </w:rPr>
        <w:t>lawful</w:t>
      </w:r>
      <w:r w:rsidR="00E40C07" w:rsidRPr="007632E7">
        <w:rPr>
          <w:rFonts w:ascii="Arial" w:hAnsi="Arial" w:cs="Arial"/>
          <w:sz w:val="22"/>
          <w:szCs w:val="22"/>
        </w:rPr>
        <w:t xml:space="preserve">ly </w:t>
      </w:r>
      <w:r w:rsidR="009A7C09" w:rsidRPr="007632E7">
        <w:rPr>
          <w:rFonts w:ascii="Arial" w:hAnsi="Arial" w:cs="Arial"/>
          <w:sz w:val="22"/>
          <w:szCs w:val="22"/>
        </w:rPr>
        <w:t>present</w:t>
      </w:r>
      <w:r w:rsidR="00E40C07" w:rsidRPr="007632E7">
        <w:rPr>
          <w:rFonts w:ascii="Arial" w:hAnsi="Arial" w:cs="Arial"/>
          <w:sz w:val="22"/>
          <w:szCs w:val="22"/>
        </w:rPr>
        <w:t xml:space="preserve"> in the UK</w:t>
      </w:r>
      <w:r w:rsidR="00DD4648" w:rsidRPr="007632E7">
        <w:rPr>
          <w:rFonts w:ascii="Arial" w:hAnsi="Arial" w:cs="Arial"/>
          <w:sz w:val="22"/>
          <w:szCs w:val="22"/>
        </w:rPr>
        <w:t>,</w:t>
      </w:r>
      <w:r w:rsidR="00336F53" w:rsidRPr="007632E7">
        <w:rPr>
          <w:rFonts w:ascii="Arial" w:hAnsi="Arial" w:cs="Arial"/>
          <w:sz w:val="22"/>
          <w:szCs w:val="22"/>
        </w:rPr>
        <w:t xml:space="preserve"> </w:t>
      </w:r>
      <w:r w:rsidR="006B7FC7" w:rsidRPr="007632E7">
        <w:rPr>
          <w:rFonts w:ascii="Arial" w:hAnsi="Arial" w:cs="Arial"/>
          <w:sz w:val="22"/>
          <w:szCs w:val="22"/>
        </w:rPr>
        <w:t>do not</w:t>
      </w:r>
      <w:r w:rsidR="0010755E" w:rsidRPr="007632E7">
        <w:rPr>
          <w:rFonts w:ascii="Arial" w:hAnsi="Arial" w:cs="Arial"/>
          <w:sz w:val="22"/>
          <w:szCs w:val="22"/>
        </w:rPr>
        <w:t xml:space="preserve"> outweigh the factors weighing </w:t>
      </w:r>
      <w:r w:rsidR="001E03F0" w:rsidRPr="007632E7">
        <w:rPr>
          <w:rFonts w:ascii="Arial" w:hAnsi="Arial" w:cs="Arial"/>
          <w:sz w:val="22"/>
          <w:szCs w:val="22"/>
        </w:rPr>
        <w:t>in the</w:t>
      </w:r>
      <w:r w:rsidR="0010755E" w:rsidRPr="007632E7">
        <w:rPr>
          <w:rFonts w:ascii="Arial" w:hAnsi="Arial" w:cs="Arial"/>
          <w:sz w:val="22"/>
          <w:szCs w:val="22"/>
        </w:rPr>
        <w:t xml:space="preserve"> appellant</w:t>
      </w:r>
      <w:r w:rsidR="001E03F0" w:rsidRPr="007632E7">
        <w:rPr>
          <w:rFonts w:ascii="Arial" w:hAnsi="Arial" w:cs="Arial"/>
          <w:sz w:val="22"/>
          <w:szCs w:val="22"/>
        </w:rPr>
        <w:t>’s favour</w:t>
      </w:r>
      <w:r w:rsidR="0010755E" w:rsidRPr="007632E7">
        <w:rPr>
          <w:rFonts w:ascii="Arial" w:hAnsi="Arial" w:cs="Arial"/>
          <w:sz w:val="22"/>
          <w:szCs w:val="22"/>
        </w:rPr>
        <w:t>. Predomina</w:t>
      </w:r>
      <w:r w:rsidR="00CE61E3" w:rsidRPr="007632E7">
        <w:rPr>
          <w:rFonts w:ascii="Arial" w:hAnsi="Arial" w:cs="Arial"/>
          <w:sz w:val="22"/>
          <w:szCs w:val="22"/>
        </w:rPr>
        <w:t>nt</w:t>
      </w:r>
      <w:r w:rsidR="0010755E" w:rsidRPr="007632E7">
        <w:rPr>
          <w:rFonts w:ascii="Arial" w:hAnsi="Arial" w:cs="Arial"/>
          <w:sz w:val="22"/>
          <w:szCs w:val="22"/>
        </w:rPr>
        <w:t xml:space="preserve">ly, </w:t>
      </w:r>
      <w:r w:rsidR="002A3A82" w:rsidRPr="007632E7">
        <w:rPr>
          <w:rFonts w:ascii="Arial" w:hAnsi="Arial" w:cs="Arial"/>
          <w:sz w:val="22"/>
          <w:szCs w:val="22"/>
        </w:rPr>
        <w:t xml:space="preserve">a failure to accommodate the appellant </w:t>
      </w:r>
      <w:r w:rsidR="0010755E" w:rsidRPr="007632E7">
        <w:rPr>
          <w:rFonts w:ascii="Arial" w:hAnsi="Arial" w:cs="Arial"/>
          <w:sz w:val="22"/>
          <w:szCs w:val="22"/>
        </w:rPr>
        <w:t>would</w:t>
      </w:r>
      <w:r w:rsidR="00EE2FC4" w:rsidRPr="007632E7">
        <w:rPr>
          <w:rFonts w:ascii="Arial" w:hAnsi="Arial" w:cs="Arial"/>
          <w:sz w:val="22"/>
          <w:szCs w:val="22"/>
        </w:rPr>
        <w:t>, in my judgment</w:t>
      </w:r>
      <w:r w:rsidR="0010755E" w:rsidRPr="007632E7">
        <w:rPr>
          <w:rFonts w:ascii="Arial" w:hAnsi="Arial" w:cs="Arial"/>
          <w:sz w:val="22"/>
          <w:szCs w:val="22"/>
        </w:rPr>
        <w:t xml:space="preserve"> constitute a disprop</w:t>
      </w:r>
      <w:r w:rsidR="00A767C1" w:rsidRPr="007632E7">
        <w:rPr>
          <w:rFonts w:ascii="Arial" w:hAnsi="Arial" w:cs="Arial"/>
          <w:sz w:val="22"/>
          <w:szCs w:val="22"/>
        </w:rPr>
        <w:t>o</w:t>
      </w:r>
      <w:r w:rsidR="0010755E" w:rsidRPr="007632E7">
        <w:rPr>
          <w:rFonts w:ascii="Arial" w:hAnsi="Arial" w:cs="Arial"/>
          <w:sz w:val="22"/>
          <w:szCs w:val="22"/>
        </w:rPr>
        <w:t>rtion</w:t>
      </w:r>
      <w:r w:rsidR="00A767C1" w:rsidRPr="007632E7">
        <w:rPr>
          <w:rFonts w:ascii="Arial" w:hAnsi="Arial" w:cs="Arial"/>
          <w:sz w:val="22"/>
          <w:szCs w:val="22"/>
        </w:rPr>
        <w:t>a</w:t>
      </w:r>
      <w:r w:rsidR="0010755E" w:rsidRPr="007632E7">
        <w:rPr>
          <w:rFonts w:ascii="Arial" w:hAnsi="Arial" w:cs="Arial"/>
          <w:sz w:val="22"/>
          <w:szCs w:val="22"/>
        </w:rPr>
        <w:t xml:space="preserve">te interference in his </w:t>
      </w:r>
      <w:r w:rsidR="00650849" w:rsidRPr="007632E7">
        <w:rPr>
          <w:rFonts w:ascii="Arial" w:hAnsi="Arial" w:cs="Arial"/>
          <w:sz w:val="22"/>
          <w:szCs w:val="22"/>
        </w:rPr>
        <w:t xml:space="preserve">Article 8 </w:t>
      </w:r>
      <w:r w:rsidR="0010755E" w:rsidRPr="007632E7">
        <w:rPr>
          <w:rFonts w:ascii="Arial" w:hAnsi="Arial" w:cs="Arial"/>
          <w:sz w:val="22"/>
          <w:szCs w:val="22"/>
        </w:rPr>
        <w:t>right to respect for priv</w:t>
      </w:r>
      <w:r w:rsidR="00A767C1" w:rsidRPr="007632E7">
        <w:rPr>
          <w:rFonts w:ascii="Arial" w:hAnsi="Arial" w:cs="Arial"/>
          <w:sz w:val="22"/>
          <w:szCs w:val="22"/>
        </w:rPr>
        <w:t>a</w:t>
      </w:r>
      <w:r w:rsidR="0010755E" w:rsidRPr="007632E7">
        <w:rPr>
          <w:rFonts w:ascii="Arial" w:hAnsi="Arial" w:cs="Arial"/>
          <w:sz w:val="22"/>
          <w:szCs w:val="22"/>
        </w:rPr>
        <w:t>te l</w:t>
      </w:r>
      <w:r w:rsidR="00A767C1" w:rsidRPr="007632E7">
        <w:rPr>
          <w:rFonts w:ascii="Arial" w:hAnsi="Arial" w:cs="Arial"/>
          <w:sz w:val="22"/>
          <w:szCs w:val="22"/>
        </w:rPr>
        <w:t>i</w:t>
      </w:r>
      <w:r w:rsidR="0010755E" w:rsidRPr="007632E7">
        <w:rPr>
          <w:rFonts w:ascii="Arial" w:hAnsi="Arial" w:cs="Arial"/>
          <w:sz w:val="22"/>
          <w:szCs w:val="22"/>
        </w:rPr>
        <w:t>fe</w:t>
      </w:r>
      <w:r w:rsidR="00EE2FC4" w:rsidRPr="007632E7">
        <w:rPr>
          <w:rFonts w:ascii="Arial" w:hAnsi="Arial" w:cs="Arial"/>
          <w:sz w:val="22"/>
          <w:szCs w:val="22"/>
        </w:rPr>
        <w:t>,</w:t>
      </w:r>
      <w:r w:rsidR="0010755E" w:rsidRPr="007632E7">
        <w:rPr>
          <w:rFonts w:ascii="Arial" w:hAnsi="Arial" w:cs="Arial"/>
          <w:sz w:val="22"/>
          <w:szCs w:val="22"/>
        </w:rPr>
        <w:t xml:space="preserve"> </w:t>
      </w:r>
      <w:r w:rsidR="00EE2FC4" w:rsidRPr="007632E7">
        <w:rPr>
          <w:rFonts w:ascii="Arial" w:hAnsi="Arial" w:cs="Arial"/>
          <w:sz w:val="22"/>
          <w:szCs w:val="22"/>
        </w:rPr>
        <w:t xml:space="preserve">and not </w:t>
      </w:r>
      <w:r w:rsidR="0010755E" w:rsidRPr="007632E7">
        <w:rPr>
          <w:rFonts w:ascii="Arial" w:hAnsi="Arial" w:cs="Arial"/>
          <w:sz w:val="22"/>
          <w:szCs w:val="22"/>
        </w:rPr>
        <w:t xml:space="preserve">to be exposed </w:t>
      </w:r>
      <w:r w:rsidR="001034A8" w:rsidRPr="007632E7">
        <w:rPr>
          <w:rFonts w:ascii="Arial" w:hAnsi="Arial" w:cs="Arial"/>
          <w:sz w:val="22"/>
          <w:szCs w:val="22"/>
        </w:rPr>
        <w:t xml:space="preserve">during a pandemic and national lockdown </w:t>
      </w:r>
      <w:r w:rsidR="0010755E" w:rsidRPr="007632E7">
        <w:rPr>
          <w:rFonts w:ascii="Arial" w:hAnsi="Arial" w:cs="Arial"/>
          <w:sz w:val="22"/>
          <w:szCs w:val="22"/>
        </w:rPr>
        <w:t>to street hom</w:t>
      </w:r>
      <w:r w:rsidR="002E3D75" w:rsidRPr="007632E7">
        <w:rPr>
          <w:rFonts w:ascii="Arial" w:hAnsi="Arial" w:cs="Arial"/>
          <w:sz w:val="22"/>
          <w:szCs w:val="22"/>
        </w:rPr>
        <w:t>e</w:t>
      </w:r>
      <w:r w:rsidR="00A767C1" w:rsidRPr="007632E7">
        <w:rPr>
          <w:rFonts w:ascii="Arial" w:hAnsi="Arial" w:cs="Arial"/>
          <w:sz w:val="22"/>
          <w:szCs w:val="22"/>
        </w:rPr>
        <w:t>l</w:t>
      </w:r>
      <w:r w:rsidR="0010755E" w:rsidRPr="007632E7">
        <w:rPr>
          <w:rFonts w:ascii="Arial" w:hAnsi="Arial" w:cs="Arial"/>
          <w:sz w:val="22"/>
          <w:szCs w:val="22"/>
        </w:rPr>
        <w:t>essness</w:t>
      </w:r>
      <w:r w:rsidR="001C4969" w:rsidRPr="007632E7">
        <w:rPr>
          <w:rFonts w:ascii="Arial" w:hAnsi="Arial" w:cs="Arial"/>
          <w:sz w:val="22"/>
          <w:szCs w:val="22"/>
        </w:rPr>
        <w:t>. Street homelessness</w:t>
      </w:r>
      <w:r w:rsidR="00E77FB6" w:rsidRPr="007632E7">
        <w:rPr>
          <w:rFonts w:ascii="Arial" w:hAnsi="Arial" w:cs="Arial"/>
          <w:sz w:val="22"/>
          <w:szCs w:val="22"/>
        </w:rPr>
        <w:t xml:space="preserve"> includes</w:t>
      </w:r>
      <w:r w:rsidR="00466F5E" w:rsidRPr="007632E7">
        <w:rPr>
          <w:rFonts w:ascii="Arial" w:hAnsi="Arial" w:cs="Arial"/>
          <w:sz w:val="22"/>
          <w:szCs w:val="22"/>
        </w:rPr>
        <w:t xml:space="preserve"> the risk of living in a homeless shelter regarding which Professor Coker has written</w:t>
      </w:r>
      <w:r w:rsidR="00740249" w:rsidRPr="007632E7">
        <w:rPr>
          <w:rFonts w:ascii="Arial" w:hAnsi="Arial" w:cs="Arial"/>
          <w:sz w:val="22"/>
          <w:szCs w:val="22"/>
        </w:rPr>
        <w:t xml:space="preserve"> (see</w:t>
      </w:r>
      <w:r w:rsidR="0070545A" w:rsidRPr="007632E7">
        <w:rPr>
          <w:rFonts w:ascii="Arial" w:hAnsi="Arial" w:cs="Arial"/>
          <w:sz w:val="22"/>
          <w:szCs w:val="22"/>
        </w:rPr>
        <w:t xml:space="preserve"> paragraph 25 above) th</w:t>
      </w:r>
      <w:r w:rsidR="00BB1BFB" w:rsidRPr="007632E7">
        <w:rPr>
          <w:rFonts w:ascii="Arial" w:hAnsi="Arial" w:cs="Arial"/>
          <w:sz w:val="22"/>
          <w:szCs w:val="22"/>
        </w:rPr>
        <w:t>at:</w:t>
      </w:r>
    </w:p>
    <w:p w14:paraId="126C89CF" w14:textId="77777777" w:rsidR="005C632C" w:rsidRPr="007632E7" w:rsidRDefault="005C632C" w:rsidP="0086252C">
      <w:pPr>
        <w:tabs>
          <w:tab w:val="num" w:pos="0"/>
        </w:tabs>
        <w:jc w:val="both"/>
        <w:rPr>
          <w:rFonts w:ascii="Arial" w:hAnsi="Arial" w:cs="Arial"/>
          <w:sz w:val="22"/>
          <w:szCs w:val="22"/>
        </w:rPr>
      </w:pPr>
    </w:p>
    <w:p w14:paraId="328BA881" w14:textId="458F2C6F" w:rsidR="0010755E" w:rsidRPr="00A978D8" w:rsidRDefault="00BB1BFB" w:rsidP="0086252C">
      <w:pPr>
        <w:tabs>
          <w:tab w:val="num" w:pos="0"/>
        </w:tabs>
        <w:ind w:left="426"/>
        <w:jc w:val="both"/>
        <w:rPr>
          <w:rFonts w:ascii="Arial" w:hAnsi="Arial" w:cs="Arial"/>
          <w:sz w:val="22"/>
          <w:szCs w:val="22"/>
        </w:rPr>
      </w:pPr>
      <w:r w:rsidRPr="007632E7">
        <w:rPr>
          <w:rFonts w:ascii="Arial" w:hAnsi="Arial" w:cs="Arial"/>
          <w:i/>
          <w:sz w:val="22"/>
          <w:szCs w:val="22"/>
        </w:rPr>
        <w:t>“[a]ny</w:t>
      </w:r>
      <w:r w:rsidRPr="007632E7">
        <w:rPr>
          <w:rFonts w:ascii="Arial" w:eastAsia="TimesNewRoman" w:hAnsi="Arial" w:cs="Arial"/>
          <w:i/>
          <w:sz w:val="22"/>
          <w:szCs w:val="22"/>
          <w:lang w:eastAsia="en-US"/>
        </w:rPr>
        <w:t xml:space="preserve"> policies that likely result in increasing the likelihood that people will congregate more, that is fail to socially distance, whether that be </w:t>
      </w:r>
      <w:r w:rsidRPr="00A978D8">
        <w:rPr>
          <w:rFonts w:ascii="Arial" w:eastAsia="TimesNewRoman" w:hAnsi="Arial" w:cs="Arial"/>
          <w:i/>
          <w:sz w:val="22"/>
          <w:szCs w:val="22"/>
          <w:lang w:eastAsia="en-US"/>
        </w:rPr>
        <w:t>in detention centres, nursing homes, cruise ships, homeless shelters etc could and should have been seen to increase the risk to both individuals and the wider public health.</w:t>
      </w:r>
      <w:r w:rsidR="00A978D8" w:rsidRPr="00A978D8">
        <w:rPr>
          <w:rFonts w:ascii="Arial" w:eastAsia="TimesNewRoman" w:hAnsi="Arial" w:cs="Arial"/>
          <w:i/>
          <w:sz w:val="22"/>
          <w:szCs w:val="22"/>
          <w:lang w:eastAsia="en-US"/>
        </w:rPr>
        <w:t>”</w:t>
      </w:r>
    </w:p>
    <w:p w14:paraId="39A4671A" w14:textId="77777777" w:rsidR="00A85BB6" w:rsidRPr="00A978D8" w:rsidRDefault="00A85BB6" w:rsidP="00CE093A">
      <w:pPr>
        <w:pStyle w:val="ListParagraph"/>
        <w:ind w:left="709" w:right="567"/>
        <w:jc w:val="both"/>
        <w:rPr>
          <w:rFonts w:ascii="Arial" w:hAnsi="Arial" w:cs="Arial"/>
          <w:sz w:val="22"/>
          <w:szCs w:val="22"/>
        </w:rPr>
      </w:pPr>
    </w:p>
    <w:p w14:paraId="6CE0C083" w14:textId="4EA7D785" w:rsidR="00DD6096" w:rsidRPr="00A4399B" w:rsidRDefault="00451F18" w:rsidP="00451F18">
      <w:pPr>
        <w:tabs>
          <w:tab w:val="num" w:pos="0"/>
          <w:tab w:val="left" w:pos="567"/>
        </w:tabs>
        <w:jc w:val="both"/>
        <w:rPr>
          <w:rFonts w:ascii="Arial" w:hAnsi="Arial" w:cs="Arial"/>
          <w:sz w:val="22"/>
          <w:szCs w:val="22"/>
        </w:rPr>
      </w:pPr>
      <w:r>
        <w:rPr>
          <w:rFonts w:ascii="Arial" w:hAnsi="Arial" w:cs="Arial"/>
          <w:sz w:val="22"/>
          <w:szCs w:val="22"/>
        </w:rPr>
        <w:t>63</w:t>
      </w:r>
      <w:r w:rsidR="00774813" w:rsidRPr="00A4399B">
        <w:rPr>
          <w:rFonts w:ascii="Arial" w:hAnsi="Arial" w:cs="Arial"/>
          <w:sz w:val="22"/>
          <w:szCs w:val="22"/>
        </w:rPr>
        <w:t>.</w:t>
      </w:r>
      <w:r w:rsidR="00774813" w:rsidRPr="00A4399B">
        <w:rPr>
          <w:rFonts w:ascii="Arial" w:hAnsi="Arial" w:cs="Arial"/>
          <w:sz w:val="22"/>
          <w:szCs w:val="22"/>
        </w:rPr>
        <w:tab/>
      </w:r>
      <w:r w:rsidR="00DD6096" w:rsidRPr="00A4399B">
        <w:rPr>
          <w:rFonts w:ascii="Arial" w:hAnsi="Arial" w:cs="Arial"/>
          <w:sz w:val="22"/>
          <w:szCs w:val="22"/>
        </w:rPr>
        <w:t>There is also an Article 14 dimension</w:t>
      </w:r>
      <w:r w:rsidR="002533D3" w:rsidRPr="002533D3">
        <w:rPr>
          <w:rFonts w:ascii="Arial" w:hAnsi="Arial" w:cs="Arial"/>
          <w:sz w:val="22"/>
          <w:szCs w:val="22"/>
        </w:rPr>
        <w:t xml:space="preserve"> </w:t>
      </w:r>
      <w:r w:rsidR="002533D3" w:rsidRPr="00A4399B">
        <w:rPr>
          <w:rFonts w:ascii="Arial" w:hAnsi="Arial" w:cs="Arial"/>
          <w:sz w:val="22"/>
          <w:szCs w:val="22"/>
        </w:rPr>
        <w:t xml:space="preserve">read with Article 8 </w:t>
      </w:r>
      <w:r w:rsidR="009B2E7F">
        <w:rPr>
          <w:rFonts w:ascii="Arial" w:hAnsi="Arial" w:cs="Arial"/>
          <w:sz w:val="22"/>
          <w:szCs w:val="22"/>
        </w:rPr>
        <w:t>ECHR</w:t>
      </w:r>
      <w:r w:rsidR="00DD6096" w:rsidRPr="00A4399B">
        <w:rPr>
          <w:rFonts w:ascii="Arial" w:hAnsi="Arial" w:cs="Arial"/>
          <w:sz w:val="22"/>
          <w:szCs w:val="22"/>
        </w:rPr>
        <w:t xml:space="preserve">. Given that the </w:t>
      </w:r>
      <w:r w:rsidR="00734BAC">
        <w:rPr>
          <w:rFonts w:ascii="Arial" w:hAnsi="Arial" w:cs="Arial"/>
          <w:sz w:val="22"/>
          <w:szCs w:val="22"/>
        </w:rPr>
        <w:t>State</w:t>
      </w:r>
      <w:r w:rsidR="00DD6096" w:rsidRPr="00A4399B">
        <w:rPr>
          <w:rFonts w:ascii="Arial" w:hAnsi="Arial" w:cs="Arial"/>
          <w:sz w:val="22"/>
          <w:szCs w:val="22"/>
        </w:rPr>
        <w:t xml:space="preserve"> identifies the virus as a threat to</w:t>
      </w:r>
      <w:r w:rsidR="008E1B90" w:rsidRPr="00A4399B">
        <w:rPr>
          <w:rFonts w:ascii="Arial" w:hAnsi="Arial" w:cs="Arial"/>
          <w:sz w:val="22"/>
          <w:szCs w:val="22"/>
        </w:rPr>
        <w:t xml:space="preserve"> </w:t>
      </w:r>
      <w:r w:rsidR="00DD6096" w:rsidRPr="00876EC6">
        <w:rPr>
          <w:rFonts w:ascii="Arial" w:hAnsi="Arial" w:cs="Arial"/>
          <w:iCs/>
          <w:sz w:val="22"/>
          <w:szCs w:val="22"/>
        </w:rPr>
        <w:t>public</w:t>
      </w:r>
      <w:r w:rsidR="008E1B90" w:rsidRPr="00A4399B">
        <w:rPr>
          <w:rFonts w:ascii="Arial" w:hAnsi="Arial" w:cs="Arial"/>
          <w:sz w:val="22"/>
          <w:szCs w:val="22"/>
        </w:rPr>
        <w:t xml:space="preserve"> </w:t>
      </w:r>
      <w:r w:rsidR="00DD6096" w:rsidRPr="00A4399B">
        <w:rPr>
          <w:rFonts w:ascii="Arial" w:hAnsi="Arial" w:cs="Arial"/>
          <w:sz w:val="22"/>
          <w:szCs w:val="22"/>
        </w:rPr>
        <w:t xml:space="preserve">health, it cannot be said that there is an objective justification for excluding failed asylum seekers </w:t>
      </w:r>
      <w:r w:rsidR="00062186">
        <w:rPr>
          <w:rFonts w:ascii="Arial" w:hAnsi="Arial" w:cs="Arial"/>
          <w:sz w:val="22"/>
          <w:szCs w:val="22"/>
        </w:rPr>
        <w:t xml:space="preserve">like the appellant </w:t>
      </w:r>
      <w:r w:rsidR="00DD6096" w:rsidRPr="00A4399B">
        <w:rPr>
          <w:rFonts w:ascii="Arial" w:hAnsi="Arial" w:cs="Arial"/>
          <w:sz w:val="22"/>
          <w:szCs w:val="22"/>
        </w:rPr>
        <w:t>from the category of the public.</w:t>
      </w:r>
    </w:p>
    <w:p w14:paraId="05465270" w14:textId="23C761E7" w:rsidR="00DD6096" w:rsidRPr="00A4399B" w:rsidRDefault="00DD6096" w:rsidP="003D4E30">
      <w:pPr>
        <w:pStyle w:val="ListParagraph"/>
        <w:ind w:left="0"/>
        <w:jc w:val="both"/>
        <w:rPr>
          <w:rFonts w:ascii="Arial" w:hAnsi="Arial" w:cs="Arial"/>
          <w:sz w:val="22"/>
          <w:szCs w:val="22"/>
        </w:rPr>
      </w:pPr>
    </w:p>
    <w:p w14:paraId="75D53514" w14:textId="78FDF577" w:rsidR="00DD6096" w:rsidRDefault="00451F18" w:rsidP="00451F18">
      <w:pPr>
        <w:tabs>
          <w:tab w:val="num" w:pos="0"/>
          <w:tab w:val="left" w:pos="567"/>
        </w:tabs>
        <w:jc w:val="both"/>
        <w:rPr>
          <w:rFonts w:ascii="Arial" w:hAnsi="Arial" w:cs="Arial"/>
          <w:sz w:val="22"/>
          <w:szCs w:val="22"/>
        </w:rPr>
      </w:pPr>
      <w:r>
        <w:rPr>
          <w:rFonts w:ascii="Arial" w:hAnsi="Arial" w:cs="Arial"/>
          <w:sz w:val="22"/>
          <w:szCs w:val="22"/>
        </w:rPr>
        <w:t>64</w:t>
      </w:r>
      <w:r w:rsidR="00774813" w:rsidRPr="00A4399B">
        <w:rPr>
          <w:rFonts w:ascii="Arial" w:hAnsi="Arial" w:cs="Arial"/>
          <w:sz w:val="22"/>
          <w:szCs w:val="22"/>
        </w:rPr>
        <w:t>.</w:t>
      </w:r>
      <w:r w:rsidR="00774813" w:rsidRPr="00A4399B">
        <w:rPr>
          <w:rFonts w:ascii="Arial" w:hAnsi="Arial" w:cs="Arial"/>
          <w:sz w:val="22"/>
          <w:szCs w:val="22"/>
        </w:rPr>
        <w:tab/>
      </w:r>
      <w:r w:rsidR="00DD6096" w:rsidRPr="00A4399B">
        <w:rPr>
          <w:rFonts w:ascii="Arial" w:hAnsi="Arial" w:cs="Arial"/>
          <w:sz w:val="22"/>
          <w:szCs w:val="22"/>
        </w:rPr>
        <w:t xml:space="preserve">Further, insofar as Ms </w:t>
      </w:r>
      <w:r w:rsidR="008E1B90" w:rsidRPr="00A4399B">
        <w:rPr>
          <w:rFonts w:ascii="Arial" w:hAnsi="Arial" w:cs="Arial"/>
          <w:sz w:val="22"/>
          <w:szCs w:val="22"/>
        </w:rPr>
        <w:t>Idelbi s</w:t>
      </w:r>
      <w:r w:rsidR="00DD6096" w:rsidRPr="00A4399B">
        <w:rPr>
          <w:rFonts w:ascii="Arial" w:hAnsi="Arial" w:cs="Arial"/>
          <w:sz w:val="22"/>
          <w:szCs w:val="22"/>
        </w:rPr>
        <w:t xml:space="preserve">eeks to suggest that Strasbourg jurisprudence on protection of the wider community supports her position, it must be </w:t>
      </w:r>
      <w:r w:rsidR="00BF4AAB" w:rsidRPr="00A4399B">
        <w:rPr>
          <w:rFonts w:ascii="Arial" w:hAnsi="Arial" w:cs="Arial"/>
          <w:sz w:val="22"/>
          <w:szCs w:val="22"/>
        </w:rPr>
        <w:t>noted</w:t>
      </w:r>
      <w:r w:rsidR="00DD6096" w:rsidRPr="00A4399B">
        <w:rPr>
          <w:rFonts w:ascii="Arial" w:hAnsi="Arial" w:cs="Arial"/>
          <w:sz w:val="22"/>
          <w:szCs w:val="22"/>
        </w:rPr>
        <w:t xml:space="preserve"> that even though Article 8 is a qualified right, two of its six ground</w:t>
      </w:r>
      <w:r w:rsidR="00F94768" w:rsidRPr="00A4399B">
        <w:rPr>
          <w:rFonts w:ascii="Arial" w:hAnsi="Arial" w:cs="Arial"/>
          <w:sz w:val="22"/>
          <w:szCs w:val="22"/>
        </w:rPr>
        <w:t>s</w:t>
      </w:r>
      <w:r w:rsidR="00DD6096" w:rsidRPr="00A4399B">
        <w:rPr>
          <w:rFonts w:ascii="Arial" w:hAnsi="Arial" w:cs="Arial"/>
          <w:sz w:val="22"/>
          <w:szCs w:val="22"/>
        </w:rPr>
        <w:t xml:space="preserve"> justifying interference by the </w:t>
      </w:r>
      <w:r w:rsidR="007632E7">
        <w:rPr>
          <w:rFonts w:ascii="Arial" w:hAnsi="Arial" w:cs="Arial"/>
          <w:sz w:val="22"/>
          <w:szCs w:val="22"/>
        </w:rPr>
        <w:t>S</w:t>
      </w:r>
      <w:r w:rsidR="00DD6096" w:rsidRPr="00A4399B">
        <w:rPr>
          <w:rFonts w:ascii="Arial" w:hAnsi="Arial" w:cs="Arial"/>
          <w:sz w:val="22"/>
          <w:szCs w:val="22"/>
        </w:rPr>
        <w:t>tate with the right to respect for private and family life</w:t>
      </w:r>
      <w:r w:rsidR="009A36F9" w:rsidRPr="00A4399B">
        <w:rPr>
          <w:rFonts w:ascii="Arial" w:hAnsi="Arial" w:cs="Arial"/>
          <w:sz w:val="22"/>
          <w:szCs w:val="22"/>
        </w:rPr>
        <w:t>,</w:t>
      </w:r>
      <w:r w:rsidR="00DD6096" w:rsidRPr="00A4399B">
        <w:rPr>
          <w:rFonts w:ascii="Arial" w:hAnsi="Arial" w:cs="Arial"/>
          <w:sz w:val="22"/>
          <w:szCs w:val="22"/>
        </w:rPr>
        <w:t xml:space="preserve"> concern </w:t>
      </w:r>
      <w:r w:rsidR="006D453F">
        <w:rPr>
          <w:rFonts w:ascii="Arial" w:hAnsi="Arial" w:cs="Arial"/>
          <w:sz w:val="22"/>
          <w:szCs w:val="22"/>
        </w:rPr>
        <w:t>S</w:t>
      </w:r>
      <w:r w:rsidR="00DD6096" w:rsidRPr="00A4399B">
        <w:rPr>
          <w:rFonts w:ascii="Arial" w:hAnsi="Arial" w:cs="Arial"/>
          <w:sz w:val="22"/>
          <w:szCs w:val="22"/>
        </w:rPr>
        <w:t>tate conduct designed to protect health and the wider community: ‘for the protection of health or morals’ and ‘for the protection of the rights and freedoms of others’. There is th</w:t>
      </w:r>
      <w:r w:rsidR="00744FE9" w:rsidRPr="00A4399B">
        <w:rPr>
          <w:rFonts w:ascii="Arial" w:hAnsi="Arial" w:cs="Arial"/>
          <w:sz w:val="22"/>
          <w:szCs w:val="22"/>
        </w:rPr>
        <w:t xml:space="preserve">erefore </w:t>
      </w:r>
      <w:r w:rsidR="00DD6096" w:rsidRPr="00A4399B">
        <w:rPr>
          <w:rFonts w:ascii="Arial" w:hAnsi="Arial" w:cs="Arial"/>
          <w:sz w:val="22"/>
          <w:szCs w:val="22"/>
        </w:rPr>
        <w:t>on the face of Article 8 itself</w:t>
      </w:r>
      <w:r w:rsidR="003B41E9" w:rsidRPr="00A4399B">
        <w:rPr>
          <w:rFonts w:ascii="Arial" w:hAnsi="Arial" w:cs="Arial"/>
          <w:sz w:val="22"/>
          <w:szCs w:val="22"/>
        </w:rPr>
        <w:t>,</w:t>
      </w:r>
      <w:r w:rsidR="00DD6096" w:rsidRPr="00A4399B">
        <w:rPr>
          <w:rFonts w:ascii="Arial" w:hAnsi="Arial" w:cs="Arial"/>
          <w:sz w:val="22"/>
          <w:szCs w:val="22"/>
        </w:rPr>
        <w:t xml:space="preserve"> recognition that the </w:t>
      </w:r>
      <w:r w:rsidR="006D453F">
        <w:rPr>
          <w:rFonts w:ascii="Arial" w:hAnsi="Arial" w:cs="Arial"/>
          <w:sz w:val="22"/>
          <w:szCs w:val="22"/>
        </w:rPr>
        <w:t>S</w:t>
      </w:r>
      <w:r w:rsidR="00DD6096" w:rsidRPr="00A4399B">
        <w:rPr>
          <w:rFonts w:ascii="Arial" w:hAnsi="Arial" w:cs="Arial"/>
          <w:sz w:val="22"/>
          <w:szCs w:val="22"/>
        </w:rPr>
        <w:t xml:space="preserve">tate may have obligations to protect others. This reflects the fact that the ECHR imposes an obligation on </w:t>
      </w:r>
      <w:r w:rsidR="00B07230" w:rsidRPr="00A4399B">
        <w:rPr>
          <w:rFonts w:ascii="Arial" w:hAnsi="Arial" w:cs="Arial"/>
          <w:sz w:val="22"/>
          <w:szCs w:val="22"/>
        </w:rPr>
        <w:t xml:space="preserve">the </w:t>
      </w:r>
      <w:r w:rsidR="006D453F">
        <w:rPr>
          <w:rFonts w:ascii="Arial" w:hAnsi="Arial" w:cs="Arial"/>
          <w:sz w:val="22"/>
          <w:szCs w:val="22"/>
        </w:rPr>
        <w:t>S</w:t>
      </w:r>
      <w:r w:rsidR="00DD6096" w:rsidRPr="00A4399B">
        <w:rPr>
          <w:rFonts w:ascii="Arial" w:hAnsi="Arial" w:cs="Arial"/>
          <w:sz w:val="22"/>
          <w:szCs w:val="22"/>
        </w:rPr>
        <w:t xml:space="preserve">tate to ‘secure to </w:t>
      </w:r>
      <w:r w:rsidR="00DD6096" w:rsidRPr="00A4399B">
        <w:rPr>
          <w:rFonts w:ascii="Arial" w:hAnsi="Arial" w:cs="Arial"/>
          <w:i/>
          <w:sz w:val="22"/>
          <w:szCs w:val="22"/>
        </w:rPr>
        <w:t>everyone</w:t>
      </w:r>
      <w:r w:rsidR="00DD6096" w:rsidRPr="00A4399B">
        <w:rPr>
          <w:rFonts w:ascii="Arial" w:hAnsi="Arial" w:cs="Arial"/>
          <w:sz w:val="22"/>
          <w:szCs w:val="22"/>
        </w:rPr>
        <w:t>’ the rights guaranteed by the ECHR (Article 1). </w:t>
      </w:r>
    </w:p>
    <w:p w14:paraId="5BCC02CD" w14:textId="3C945468" w:rsidR="00031DA1" w:rsidRDefault="00031DA1" w:rsidP="00774813">
      <w:pPr>
        <w:tabs>
          <w:tab w:val="num" w:pos="0"/>
        </w:tabs>
        <w:jc w:val="both"/>
        <w:rPr>
          <w:rFonts w:ascii="Arial" w:hAnsi="Arial" w:cs="Arial"/>
          <w:sz w:val="22"/>
          <w:szCs w:val="22"/>
        </w:rPr>
      </w:pPr>
    </w:p>
    <w:p w14:paraId="2176DCC5" w14:textId="57B4496E" w:rsidR="00031DA1" w:rsidRPr="007632E7" w:rsidRDefault="00031DA1" w:rsidP="00271CFD">
      <w:pPr>
        <w:tabs>
          <w:tab w:val="num" w:pos="0"/>
          <w:tab w:val="left" w:pos="567"/>
        </w:tabs>
        <w:jc w:val="both"/>
        <w:rPr>
          <w:rFonts w:ascii="Arial" w:hAnsi="Arial" w:cs="Arial"/>
          <w:sz w:val="22"/>
          <w:szCs w:val="22"/>
        </w:rPr>
      </w:pPr>
      <w:r>
        <w:rPr>
          <w:rFonts w:ascii="Arial" w:hAnsi="Arial" w:cs="Arial"/>
          <w:sz w:val="22"/>
          <w:szCs w:val="22"/>
        </w:rPr>
        <w:t>6</w:t>
      </w:r>
      <w:r w:rsidR="00271CFD">
        <w:rPr>
          <w:rFonts w:ascii="Arial" w:hAnsi="Arial" w:cs="Arial"/>
          <w:sz w:val="22"/>
          <w:szCs w:val="22"/>
        </w:rPr>
        <w:t>5</w:t>
      </w:r>
      <w:r>
        <w:rPr>
          <w:rFonts w:ascii="Arial" w:hAnsi="Arial" w:cs="Arial"/>
          <w:sz w:val="22"/>
          <w:szCs w:val="22"/>
        </w:rPr>
        <w:t>.</w:t>
      </w:r>
      <w:r>
        <w:rPr>
          <w:rFonts w:ascii="Arial" w:hAnsi="Arial" w:cs="Arial"/>
          <w:sz w:val="22"/>
          <w:szCs w:val="22"/>
        </w:rPr>
        <w:tab/>
      </w:r>
      <w:r w:rsidRPr="007632E7">
        <w:rPr>
          <w:rFonts w:ascii="Arial" w:hAnsi="Arial" w:cs="Arial"/>
          <w:sz w:val="22"/>
          <w:szCs w:val="22"/>
        </w:rPr>
        <w:t>I therefore reject the submission that the proper boundary is to focus on the individual case and how the individual is affected, and not also at the impact of the pandemic on the wider community.</w:t>
      </w:r>
    </w:p>
    <w:p w14:paraId="37E3113A" w14:textId="1D18B969" w:rsidR="006D3C7B" w:rsidRPr="007632E7" w:rsidRDefault="006D3C7B" w:rsidP="00774813">
      <w:pPr>
        <w:tabs>
          <w:tab w:val="num" w:pos="0"/>
        </w:tabs>
        <w:jc w:val="both"/>
        <w:rPr>
          <w:rFonts w:ascii="Arial" w:hAnsi="Arial" w:cs="Arial"/>
          <w:sz w:val="22"/>
          <w:szCs w:val="22"/>
        </w:rPr>
      </w:pPr>
    </w:p>
    <w:p w14:paraId="5D2045D2" w14:textId="64EFE68B" w:rsidR="00655397" w:rsidRPr="007632E7" w:rsidRDefault="00655397" w:rsidP="00271CFD">
      <w:pPr>
        <w:tabs>
          <w:tab w:val="num" w:pos="0"/>
          <w:tab w:val="left" w:pos="567"/>
        </w:tabs>
        <w:jc w:val="both"/>
        <w:rPr>
          <w:rFonts w:ascii="Arial" w:hAnsi="Arial" w:cs="Arial"/>
          <w:sz w:val="22"/>
          <w:szCs w:val="22"/>
        </w:rPr>
      </w:pPr>
      <w:r w:rsidRPr="007632E7">
        <w:rPr>
          <w:rFonts w:ascii="Arial" w:hAnsi="Arial" w:cs="Arial"/>
          <w:sz w:val="22"/>
          <w:szCs w:val="22"/>
        </w:rPr>
        <w:t>6</w:t>
      </w:r>
      <w:r w:rsidR="00271CFD" w:rsidRPr="007632E7">
        <w:rPr>
          <w:rFonts w:ascii="Arial" w:hAnsi="Arial" w:cs="Arial"/>
          <w:sz w:val="22"/>
          <w:szCs w:val="22"/>
        </w:rPr>
        <w:t>6</w:t>
      </w:r>
      <w:r w:rsidRPr="007632E7">
        <w:rPr>
          <w:rFonts w:ascii="Arial" w:hAnsi="Arial" w:cs="Arial"/>
          <w:sz w:val="22"/>
          <w:szCs w:val="22"/>
        </w:rPr>
        <w:t>.</w:t>
      </w:r>
      <w:r w:rsidRPr="007632E7">
        <w:rPr>
          <w:rFonts w:ascii="Arial" w:hAnsi="Arial" w:cs="Arial"/>
          <w:sz w:val="22"/>
          <w:szCs w:val="22"/>
        </w:rPr>
        <w:tab/>
        <w:t>The available evidence demonstrates that the UK Government has taken and continues to take measures that are within the scope of its powers (</w:t>
      </w:r>
      <w:r w:rsidRPr="007632E7">
        <w:rPr>
          <w:rFonts w:ascii="Arial" w:hAnsi="Arial" w:cs="Arial"/>
          <w:i/>
          <w:iCs/>
          <w:sz w:val="22"/>
          <w:szCs w:val="22"/>
        </w:rPr>
        <w:t>Osman</w:t>
      </w:r>
      <w:r w:rsidRPr="007632E7">
        <w:rPr>
          <w:rFonts w:ascii="Arial" w:hAnsi="Arial" w:cs="Arial"/>
          <w:sz w:val="22"/>
          <w:szCs w:val="22"/>
        </w:rPr>
        <w:t xml:space="preserve"> at 116) and its priorities and resources (</w:t>
      </w:r>
      <w:r w:rsidRPr="007632E7">
        <w:rPr>
          <w:rFonts w:ascii="Arial" w:hAnsi="Arial" w:cs="Arial"/>
          <w:i/>
          <w:iCs/>
          <w:sz w:val="22"/>
          <w:szCs w:val="22"/>
        </w:rPr>
        <w:t>Cevrioglu</w:t>
      </w:r>
      <w:r w:rsidRPr="007632E7">
        <w:rPr>
          <w:rFonts w:ascii="Arial" w:hAnsi="Arial" w:cs="Arial"/>
          <w:sz w:val="22"/>
          <w:szCs w:val="22"/>
        </w:rPr>
        <w:t xml:space="preserve">, at 50) to discharge its positive obligations to protect the public from the </w:t>
      </w:r>
      <w:r w:rsidR="007632E7" w:rsidRPr="007632E7">
        <w:rPr>
          <w:rFonts w:ascii="Arial" w:hAnsi="Arial" w:cs="Arial"/>
          <w:sz w:val="22"/>
          <w:szCs w:val="22"/>
        </w:rPr>
        <w:t xml:space="preserve">real, immediate and </w:t>
      </w:r>
      <w:r w:rsidRPr="007632E7">
        <w:rPr>
          <w:rFonts w:ascii="Arial" w:hAnsi="Arial" w:cs="Arial"/>
          <w:sz w:val="22"/>
          <w:szCs w:val="22"/>
        </w:rPr>
        <w:t>serious risk of harm from COVID-19. I acknowledge that there are positive signs of improvement with the number of deaths reducing</w:t>
      </w:r>
      <w:r w:rsidR="007632E7" w:rsidRPr="007632E7">
        <w:rPr>
          <w:rFonts w:ascii="Arial" w:hAnsi="Arial" w:cs="Arial"/>
          <w:sz w:val="22"/>
          <w:szCs w:val="22"/>
        </w:rPr>
        <w:t xml:space="preserve"> daily</w:t>
      </w:r>
      <w:r w:rsidR="000B4F97" w:rsidRPr="007632E7">
        <w:rPr>
          <w:rFonts w:ascii="Arial" w:hAnsi="Arial" w:cs="Arial"/>
          <w:sz w:val="22"/>
          <w:szCs w:val="22"/>
        </w:rPr>
        <w:t>;</w:t>
      </w:r>
      <w:r w:rsidRPr="007632E7">
        <w:rPr>
          <w:rFonts w:ascii="Arial" w:hAnsi="Arial" w:cs="Arial"/>
          <w:sz w:val="22"/>
          <w:szCs w:val="22"/>
        </w:rPr>
        <w:t xml:space="preserve"> </w:t>
      </w:r>
      <w:r w:rsidR="007632E7" w:rsidRPr="007632E7">
        <w:rPr>
          <w:rFonts w:ascii="Arial" w:hAnsi="Arial" w:cs="Arial"/>
          <w:sz w:val="22"/>
          <w:szCs w:val="22"/>
        </w:rPr>
        <w:t xml:space="preserve">with </w:t>
      </w:r>
      <w:r w:rsidRPr="007632E7">
        <w:rPr>
          <w:rFonts w:ascii="Arial" w:hAnsi="Arial" w:cs="Arial"/>
          <w:sz w:val="22"/>
          <w:szCs w:val="22"/>
        </w:rPr>
        <w:t>over 34,000 people having received the first vaccination dose</w:t>
      </w:r>
      <w:r w:rsidR="00A876E1" w:rsidRPr="007632E7">
        <w:rPr>
          <w:rFonts w:ascii="Arial" w:hAnsi="Arial" w:cs="Arial"/>
          <w:sz w:val="22"/>
          <w:szCs w:val="22"/>
        </w:rPr>
        <w:t>;</w:t>
      </w:r>
      <w:r w:rsidRPr="007632E7">
        <w:rPr>
          <w:rFonts w:ascii="Arial" w:hAnsi="Arial" w:cs="Arial"/>
          <w:sz w:val="22"/>
          <w:szCs w:val="22"/>
        </w:rPr>
        <w:t xml:space="preserve"> and over 14,000 people having received both doses.  But the Country remains in lockdown until at least 21 June 2021, when</w:t>
      </w:r>
      <w:r w:rsidRPr="007632E7">
        <w:rPr>
          <w:rFonts w:ascii="Arial" w:hAnsi="Arial" w:cs="Arial"/>
          <w:sz w:val="21"/>
          <w:szCs w:val="21"/>
          <w:shd w:val="clear" w:color="auto" w:fill="FFFFFF"/>
        </w:rPr>
        <w:t xml:space="preserve"> the government hopes to remove all legal limits on social contact.</w:t>
      </w:r>
      <w:r w:rsidRPr="007632E7">
        <w:rPr>
          <w:rFonts w:ascii="Arial" w:hAnsi="Arial" w:cs="Arial"/>
          <w:sz w:val="22"/>
          <w:szCs w:val="22"/>
        </w:rPr>
        <w:t xml:space="preserve"> </w:t>
      </w:r>
      <w:r w:rsidR="009437C0" w:rsidRPr="007632E7">
        <w:rPr>
          <w:rFonts w:ascii="Arial" w:hAnsi="Arial" w:cs="Arial"/>
          <w:sz w:val="22"/>
          <w:szCs w:val="22"/>
        </w:rPr>
        <w:t>However, t</w:t>
      </w:r>
      <w:r w:rsidRPr="007632E7">
        <w:rPr>
          <w:rFonts w:ascii="Arial" w:hAnsi="Arial" w:cs="Arial"/>
          <w:sz w:val="22"/>
          <w:szCs w:val="22"/>
        </w:rPr>
        <w:t>hat is still some seven weeks away</w:t>
      </w:r>
      <w:r w:rsidR="007632E7" w:rsidRPr="007632E7">
        <w:rPr>
          <w:rFonts w:ascii="Arial" w:hAnsi="Arial" w:cs="Arial"/>
          <w:sz w:val="22"/>
          <w:szCs w:val="22"/>
        </w:rPr>
        <w:t xml:space="preserve">. Until </w:t>
      </w:r>
      <w:r w:rsidR="0025259D" w:rsidRPr="007632E7">
        <w:rPr>
          <w:rFonts w:ascii="Arial" w:hAnsi="Arial" w:cs="Arial"/>
          <w:sz w:val="22"/>
          <w:szCs w:val="22"/>
        </w:rPr>
        <w:t>then</w:t>
      </w:r>
      <w:r w:rsidR="0025259D">
        <w:rPr>
          <w:rFonts w:ascii="Arial" w:hAnsi="Arial" w:cs="Arial"/>
          <w:sz w:val="22"/>
          <w:szCs w:val="22"/>
        </w:rPr>
        <w:t>,</w:t>
      </w:r>
      <w:r w:rsidR="0025259D" w:rsidRPr="007632E7">
        <w:rPr>
          <w:rFonts w:ascii="Arial" w:hAnsi="Arial" w:cs="Arial"/>
          <w:sz w:val="22"/>
          <w:szCs w:val="22"/>
        </w:rPr>
        <w:t xml:space="preserve"> the</w:t>
      </w:r>
      <w:r w:rsidR="007632E7" w:rsidRPr="007632E7">
        <w:rPr>
          <w:rFonts w:ascii="Arial" w:hAnsi="Arial" w:cs="Arial"/>
          <w:sz w:val="22"/>
          <w:szCs w:val="22"/>
        </w:rPr>
        <w:t xml:space="preserve"> current threat to public health requires that section 4 accommodation should be provided to the appellant</w:t>
      </w:r>
      <w:r w:rsidRPr="007632E7">
        <w:rPr>
          <w:rFonts w:ascii="Arial" w:hAnsi="Arial" w:cs="Arial"/>
          <w:sz w:val="22"/>
          <w:szCs w:val="22"/>
        </w:rPr>
        <w:t xml:space="preserve">. </w:t>
      </w:r>
    </w:p>
    <w:p w14:paraId="06E9682A" w14:textId="77777777" w:rsidR="00DD6096" w:rsidRPr="007632E7" w:rsidRDefault="00DD6096" w:rsidP="0011755E">
      <w:pPr>
        <w:tabs>
          <w:tab w:val="num" w:pos="567"/>
        </w:tabs>
        <w:jc w:val="both"/>
        <w:outlineLvl w:val="2"/>
        <w:rPr>
          <w:rFonts w:ascii="Arial" w:hAnsi="Arial" w:cs="Arial"/>
          <w:b/>
          <w:sz w:val="22"/>
          <w:szCs w:val="22"/>
        </w:rPr>
      </w:pPr>
    </w:p>
    <w:p w14:paraId="471EF625" w14:textId="77777777" w:rsidR="00B265DE" w:rsidRPr="007632E7" w:rsidRDefault="00B265DE" w:rsidP="00B265DE">
      <w:pPr>
        <w:jc w:val="both"/>
        <w:rPr>
          <w:rFonts w:ascii="Arial" w:hAnsi="Arial" w:cs="Arial"/>
          <w:b/>
          <w:sz w:val="22"/>
          <w:szCs w:val="22"/>
        </w:rPr>
      </w:pPr>
      <w:r w:rsidRPr="007632E7">
        <w:rPr>
          <w:rFonts w:ascii="Arial" w:hAnsi="Arial" w:cs="Arial"/>
          <w:b/>
          <w:sz w:val="22"/>
          <w:szCs w:val="22"/>
        </w:rPr>
        <w:t>Appellants’ Further Submissions</w:t>
      </w:r>
    </w:p>
    <w:p w14:paraId="7C23FDEB" w14:textId="77777777" w:rsidR="00B265DE" w:rsidRPr="00A4399B" w:rsidRDefault="00B265DE" w:rsidP="00B265DE">
      <w:pPr>
        <w:spacing w:before="100" w:beforeAutospacing="1" w:after="100" w:afterAutospacing="1"/>
        <w:contextualSpacing/>
        <w:jc w:val="both"/>
        <w:rPr>
          <w:rFonts w:ascii="Arial" w:hAnsi="Arial" w:cs="Arial"/>
          <w:sz w:val="22"/>
          <w:szCs w:val="22"/>
        </w:rPr>
      </w:pPr>
    </w:p>
    <w:p w14:paraId="3BC31958" w14:textId="4DBCE74F" w:rsidR="00EE716E" w:rsidRPr="00A4399B" w:rsidRDefault="007B2F0B" w:rsidP="00271CFD">
      <w:pPr>
        <w:tabs>
          <w:tab w:val="left" w:pos="567"/>
        </w:tabs>
        <w:spacing w:before="100" w:beforeAutospacing="1" w:after="100" w:afterAutospacing="1"/>
        <w:contextualSpacing/>
        <w:jc w:val="both"/>
        <w:rPr>
          <w:rFonts w:ascii="Arial" w:hAnsi="Arial" w:cs="Arial"/>
          <w:sz w:val="22"/>
          <w:szCs w:val="22"/>
        </w:rPr>
      </w:pPr>
      <w:r w:rsidRPr="00A4399B">
        <w:rPr>
          <w:rFonts w:ascii="Arial" w:hAnsi="Arial" w:cs="Arial"/>
          <w:sz w:val="22"/>
          <w:szCs w:val="22"/>
        </w:rPr>
        <w:t>6</w:t>
      </w:r>
      <w:r w:rsidR="00271CFD">
        <w:rPr>
          <w:rFonts w:ascii="Arial" w:hAnsi="Arial" w:cs="Arial"/>
          <w:sz w:val="22"/>
          <w:szCs w:val="22"/>
        </w:rPr>
        <w:t>7</w:t>
      </w:r>
      <w:r w:rsidR="00774813" w:rsidRPr="00A4399B">
        <w:rPr>
          <w:rFonts w:ascii="Arial" w:hAnsi="Arial" w:cs="Arial"/>
          <w:sz w:val="22"/>
          <w:szCs w:val="22"/>
        </w:rPr>
        <w:t>.</w:t>
      </w:r>
      <w:r w:rsidR="00774813" w:rsidRPr="00A4399B">
        <w:rPr>
          <w:rFonts w:ascii="Arial" w:hAnsi="Arial" w:cs="Arial"/>
          <w:sz w:val="22"/>
          <w:szCs w:val="22"/>
        </w:rPr>
        <w:tab/>
      </w:r>
      <w:r w:rsidR="00A94C3E" w:rsidRPr="00A4399B">
        <w:rPr>
          <w:rFonts w:ascii="Arial" w:hAnsi="Arial" w:cs="Arial"/>
          <w:sz w:val="22"/>
          <w:szCs w:val="22"/>
        </w:rPr>
        <w:t xml:space="preserve">In his application for </w:t>
      </w:r>
      <w:r w:rsidR="00F47D8D" w:rsidRPr="00A4399B">
        <w:rPr>
          <w:rFonts w:ascii="Arial" w:hAnsi="Arial" w:cs="Arial"/>
          <w:sz w:val="22"/>
          <w:szCs w:val="22"/>
        </w:rPr>
        <w:t>asylum support</w:t>
      </w:r>
      <w:r w:rsidR="00003319" w:rsidRPr="00A4399B">
        <w:rPr>
          <w:rFonts w:ascii="Arial" w:hAnsi="Arial" w:cs="Arial"/>
          <w:sz w:val="22"/>
          <w:szCs w:val="22"/>
        </w:rPr>
        <w:t xml:space="preserve"> on 2 February 2021</w:t>
      </w:r>
      <w:r w:rsidR="00F47D8D" w:rsidRPr="00A4399B">
        <w:rPr>
          <w:rFonts w:ascii="Arial" w:hAnsi="Arial" w:cs="Arial"/>
          <w:sz w:val="22"/>
          <w:szCs w:val="22"/>
        </w:rPr>
        <w:t xml:space="preserve">, the appellant </w:t>
      </w:r>
      <w:r w:rsidR="00976F31" w:rsidRPr="00A4399B">
        <w:rPr>
          <w:rFonts w:ascii="Arial" w:hAnsi="Arial" w:cs="Arial"/>
          <w:sz w:val="22"/>
          <w:szCs w:val="22"/>
        </w:rPr>
        <w:t>stated that his solicitor was preparing a “fresh claim” which would be submitted “within the week</w:t>
      </w:r>
      <w:r w:rsidR="00003319" w:rsidRPr="00A4399B">
        <w:rPr>
          <w:rFonts w:ascii="Arial" w:hAnsi="Arial" w:cs="Arial"/>
          <w:sz w:val="22"/>
          <w:szCs w:val="22"/>
        </w:rPr>
        <w:t>.</w:t>
      </w:r>
      <w:r w:rsidR="00976F31" w:rsidRPr="00A4399B">
        <w:rPr>
          <w:rFonts w:ascii="Arial" w:hAnsi="Arial" w:cs="Arial"/>
          <w:sz w:val="22"/>
          <w:szCs w:val="22"/>
        </w:rPr>
        <w:t>”</w:t>
      </w:r>
      <w:r w:rsidR="00003319" w:rsidRPr="00A4399B">
        <w:rPr>
          <w:rFonts w:ascii="Arial" w:hAnsi="Arial" w:cs="Arial"/>
          <w:sz w:val="22"/>
          <w:szCs w:val="22"/>
        </w:rPr>
        <w:t xml:space="preserve"> </w:t>
      </w:r>
      <w:r w:rsidR="00D05DF8" w:rsidRPr="00A4399B">
        <w:rPr>
          <w:rFonts w:ascii="Arial" w:hAnsi="Arial" w:cs="Arial"/>
          <w:sz w:val="22"/>
          <w:szCs w:val="22"/>
        </w:rPr>
        <w:t>His further submissions were</w:t>
      </w:r>
      <w:r w:rsidR="00F5084B" w:rsidRPr="00A4399B">
        <w:rPr>
          <w:rFonts w:ascii="Arial" w:hAnsi="Arial" w:cs="Arial"/>
          <w:sz w:val="22"/>
          <w:szCs w:val="22"/>
        </w:rPr>
        <w:t>,</w:t>
      </w:r>
      <w:r w:rsidR="00D05DF8" w:rsidRPr="00A4399B">
        <w:rPr>
          <w:rFonts w:ascii="Arial" w:hAnsi="Arial" w:cs="Arial"/>
          <w:sz w:val="22"/>
          <w:szCs w:val="22"/>
        </w:rPr>
        <w:t xml:space="preserve"> </w:t>
      </w:r>
      <w:r w:rsidR="00F5084B" w:rsidRPr="00A4399B">
        <w:rPr>
          <w:rFonts w:ascii="Arial" w:hAnsi="Arial" w:cs="Arial"/>
          <w:sz w:val="22"/>
          <w:szCs w:val="22"/>
        </w:rPr>
        <w:t xml:space="preserve">however, </w:t>
      </w:r>
      <w:r w:rsidR="00D05DF8" w:rsidRPr="00A4399B">
        <w:rPr>
          <w:rFonts w:ascii="Arial" w:hAnsi="Arial" w:cs="Arial"/>
          <w:sz w:val="22"/>
          <w:szCs w:val="22"/>
        </w:rPr>
        <w:t>submitted on 20 April 2021</w:t>
      </w:r>
      <w:r w:rsidR="00FD4B65" w:rsidRPr="00A4399B">
        <w:rPr>
          <w:rFonts w:ascii="Arial" w:hAnsi="Arial" w:cs="Arial"/>
          <w:sz w:val="22"/>
          <w:szCs w:val="22"/>
        </w:rPr>
        <w:t xml:space="preserve">, some </w:t>
      </w:r>
      <w:r w:rsidR="0027610D" w:rsidRPr="00A4399B">
        <w:rPr>
          <w:rFonts w:ascii="Arial" w:hAnsi="Arial" w:cs="Arial"/>
          <w:sz w:val="22"/>
          <w:szCs w:val="22"/>
        </w:rPr>
        <w:t>ten</w:t>
      </w:r>
      <w:r w:rsidR="004270A8" w:rsidRPr="00A4399B">
        <w:rPr>
          <w:rFonts w:ascii="Arial" w:hAnsi="Arial" w:cs="Arial"/>
          <w:sz w:val="22"/>
          <w:szCs w:val="22"/>
        </w:rPr>
        <w:t xml:space="preserve"> weeks </w:t>
      </w:r>
      <w:r w:rsidR="00F5084B" w:rsidRPr="00A4399B">
        <w:rPr>
          <w:rFonts w:ascii="Arial" w:hAnsi="Arial" w:cs="Arial"/>
          <w:sz w:val="22"/>
          <w:szCs w:val="22"/>
        </w:rPr>
        <w:t xml:space="preserve">after </w:t>
      </w:r>
      <w:r w:rsidR="00E04A83">
        <w:rPr>
          <w:rFonts w:ascii="Arial" w:hAnsi="Arial" w:cs="Arial"/>
          <w:sz w:val="22"/>
          <w:szCs w:val="22"/>
        </w:rPr>
        <w:t xml:space="preserve">he </w:t>
      </w:r>
      <w:r w:rsidR="00281A05" w:rsidRPr="00A4399B">
        <w:rPr>
          <w:rFonts w:ascii="Arial" w:hAnsi="Arial" w:cs="Arial"/>
          <w:sz w:val="22"/>
          <w:szCs w:val="22"/>
        </w:rPr>
        <w:t xml:space="preserve">said </w:t>
      </w:r>
      <w:r w:rsidR="007632E7">
        <w:rPr>
          <w:rFonts w:ascii="Arial" w:hAnsi="Arial" w:cs="Arial"/>
          <w:sz w:val="22"/>
          <w:szCs w:val="22"/>
        </w:rPr>
        <w:t>they</w:t>
      </w:r>
      <w:r w:rsidR="00281A05" w:rsidRPr="00A4399B">
        <w:rPr>
          <w:rFonts w:ascii="Arial" w:hAnsi="Arial" w:cs="Arial"/>
          <w:sz w:val="22"/>
          <w:szCs w:val="22"/>
        </w:rPr>
        <w:t xml:space="preserve"> would. I do not know the reason why he </w:t>
      </w:r>
      <w:r w:rsidR="003638C9">
        <w:rPr>
          <w:rFonts w:ascii="Arial" w:hAnsi="Arial" w:cs="Arial"/>
          <w:sz w:val="22"/>
          <w:szCs w:val="22"/>
        </w:rPr>
        <w:t>decided</w:t>
      </w:r>
      <w:r w:rsidR="00806865" w:rsidRPr="00A4399B">
        <w:rPr>
          <w:rFonts w:ascii="Arial" w:hAnsi="Arial" w:cs="Arial"/>
          <w:sz w:val="22"/>
          <w:szCs w:val="22"/>
        </w:rPr>
        <w:t xml:space="preserve"> to change </w:t>
      </w:r>
      <w:r w:rsidR="003638C9">
        <w:rPr>
          <w:rFonts w:ascii="Arial" w:hAnsi="Arial" w:cs="Arial"/>
          <w:sz w:val="22"/>
          <w:szCs w:val="22"/>
        </w:rPr>
        <w:t>solicitors</w:t>
      </w:r>
      <w:r w:rsidR="00ED0841" w:rsidRPr="00A4399B">
        <w:rPr>
          <w:rFonts w:ascii="Arial" w:hAnsi="Arial" w:cs="Arial"/>
          <w:sz w:val="22"/>
          <w:szCs w:val="22"/>
        </w:rPr>
        <w:t xml:space="preserve"> but even allowing for the time taken </w:t>
      </w:r>
      <w:r w:rsidR="007632E7">
        <w:rPr>
          <w:rFonts w:ascii="Arial" w:hAnsi="Arial" w:cs="Arial"/>
          <w:sz w:val="22"/>
          <w:szCs w:val="22"/>
        </w:rPr>
        <w:t>to</w:t>
      </w:r>
      <w:r w:rsidR="00ED0841" w:rsidRPr="00A4399B">
        <w:rPr>
          <w:rFonts w:ascii="Arial" w:hAnsi="Arial" w:cs="Arial"/>
          <w:sz w:val="22"/>
          <w:szCs w:val="22"/>
        </w:rPr>
        <w:t xml:space="preserve"> transfer </w:t>
      </w:r>
      <w:r w:rsidR="001A4F82" w:rsidRPr="00A4399B">
        <w:rPr>
          <w:rFonts w:ascii="Arial" w:hAnsi="Arial" w:cs="Arial"/>
          <w:sz w:val="22"/>
          <w:szCs w:val="22"/>
        </w:rPr>
        <w:t xml:space="preserve">his </w:t>
      </w:r>
      <w:r w:rsidR="00525960" w:rsidRPr="00A4399B">
        <w:rPr>
          <w:rFonts w:ascii="Arial" w:hAnsi="Arial" w:cs="Arial"/>
          <w:sz w:val="22"/>
          <w:szCs w:val="22"/>
        </w:rPr>
        <w:t xml:space="preserve">physical file, </w:t>
      </w:r>
      <w:r w:rsidR="0027610D" w:rsidRPr="00A4399B">
        <w:rPr>
          <w:rFonts w:ascii="Arial" w:hAnsi="Arial" w:cs="Arial"/>
          <w:sz w:val="22"/>
          <w:szCs w:val="22"/>
        </w:rPr>
        <w:t>ten weeks</w:t>
      </w:r>
      <w:r w:rsidR="00525960" w:rsidRPr="00A4399B">
        <w:rPr>
          <w:rFonts w:ascii="Arial" w:hAnsi="Arial" w:cs="Arial"/>
          <w:sz w:val="22"/>
          <w:szCs w:val="22"/>
        </w:rPr>
        <w:t xml:space="preserve"> is a lengthy delay.</w:t>
      </w:r>
      <w:r w:rsidR="00B93C23" w:rsidRPr="00A4399B">
        <w:rPr>
          <w:rFonts w:ascii="Arial" w:hAnsi="Arial" w:cs="Arial"/>
          <w:sz w:val="22"/>
          <w:szCs w:val="22"/>
        </w:rPr>
        <w:t xml:space="preserve"> </w:t>
      </w:r>
      <w:r w:rsidR="008E1F02" w:rsidRPr="00A4399B">
        <w:rPr>
          <w:rFonts w:ascii="Arial" w:hAnsi="Arial" w:cs="Arial"/>
          <w:sz w:val="22"/>
          <w:szCs w:val="22"/>
        </w:rPr>
        <w:t xml:space="preserve">I </w:t>
      </w:r>
      <w:r w:rsidR="007632E7">
        <w:rPr>
          <w:rFonts w:ascii="Arial" w:hAnsi="Arial" w:cs="Arial"/>
          <w:sz w:val="22"/>
          <w:szCs w:val="22"/>
        </w:rPr>
        <w:t xml:space="preserve">confirm I </w:t>
      </w:r>
      <w:r w:rsidR="008E1F02" w:rsidRPr="00A4399B">
        <w:rPr>
          <w:rFonts w:ascii="Arial" w:hAnsi="Arial" w:cs="Arial"/>
          <w:sz w:val="22"/>
          <w:szCs w:val="22"/>
        </w:rPr>
        <w:t>have read the further submission</w:t>
      </w:r>
      <w:r w:rsidR="001D02E5" w:rsidRPr="00A4399B">
        <w:rPr>
          <w:rFonts w:ascii="Arial" w:hAnsi="Arial" w:cs="Arial"/>
          <w:sz w:val="22"/>
          <w:szCs w:val="22"/>
        </w:rPr>
        <w:t xml:space="preserve"> </w:t>
      </w:r>
      <w:r w:rsidR="007632E7">
        <w:rPr>
          <w:rFonts w:ascii="Arial" w:hAnsi="Arial" w:cs="Arial"/>
          <w:sz w:val="22"/>
          <w:szCs w:val="22"/>
        </w:rPr>
        <w:t>submitted b</w:t>
      </w:r>
      <w:r w:rsidR="001D02E5" w:rsidRPr="00A4399B">
        <w:rPr>
          <w:rFonts w:ascii="Arial" w:hAnsi="Arial" w:cs="Arial"/>
          <w:sz w:val="22"/>
          <w:szCs w:val="22"/>
        </w:rPr>
        <w:t xml:space="preserve">y </w:t>
      </w:r>
      <w:r w:rsidR="00757EAE">
        <w:rPr>
          <w:rFonts w:ascii="Arial" w:hAnsi="Arial" w:cs="Arial"/>
          <w:sz w:val="22"/>
          <w:szCs w:val="22"/>
        </w:rPr>
        <w:t>XX</w:t>
      </w:r>
      <w:bookmarkStart w:id="19" w:name="_GoBack"/>
      <w:bookmarkEnd w:id="19"/>
      <w:r w:rsidR="007632E7">
        <w:rPr>
          <w:rFonts w:ascii="Arial" w:hAnsi="Arial" w:cs="Arial"/>
          <w:sz w:val="22"/>
          <w:szCs w:val="22"/>
        </w:rPr>
        <w:t>.</w:t>
      </w:r>
    </w:p>
    <w:p w14:paraId="22A53FEC" w14:textId="77777777" w:rsidR="00A83596" w:rsidRPr="00A4399B" w:rsidRDefault="00A83596" w:rsidP="00A83596">
      <w:pPr>
        <w:spacing w:before="100" w:beforeAutospacing="1" w:after="100" w:afterAutospacing="1"/>
        <w:contextualSpacing/>
        <w:jc w:val="both"/>
        <w:rPr>
          <w:rFonts w:ascii="Arial" w:hAnsi="Arial" w:cs="Arial"/>
          <w:sz w:val="22"/>
          <w:szCs w:val="22"/>
        </w:rPr>
      </w:pPr>
    </w:p>
    <w:p w14:paraId="4400B215" w14:textId="0E1C302E" w:rsidR="00863F67" w:rsidRDefault="007B2F0B" w:rsidP="00271CFD">
      <w:pPr>
        <w:tabs>
          <w:tab w:val="left" w:pos="567"/>
        </w:tabs>
        <w:spacing w:before="100" w:beforeAutospacing="1" w:after="100" w:afterAutospacing="1"/>
        <w:contextualSpacing/>
        <w:jc w:val="both"/>
        <w:rPr>
          <w:rFonts w:ascii="Arial" w:hAnsi="Arial" w:cs="Arial"/>
          <w:sz w:val="22"/>
          <w:szCs w:val="22"/>
        </w:rPr>
      </w:pPr>
      <w:r w:rsidRPr="00A4399B">
        <w:rPr>
          <w:rFonts w:ascii="Arial" w:hAnsi="Arial" w:cs="Arial"/>
          <w:sz w:val="22"/>
          <w:szCs w:val="22"/>
        </w:rPr>
        <w:t>6</w:t>
      </w:r>
      <w:r w:rsidR="00271CFD">
        <w:rPr>
          <w:rFonts w:ascii="Arial" w:hAnsi="Arial" w:cs="Arial"/>
          <w:sz w:val="22"/>
          <w:szCs w:val="22"/>
        </w:rPr>
        <w:t>8</w:t>
      </w:r>
      <w:r w:rsidR="00774813" w:rsidRPr="00A4399B">
        <w:rPr>
          <w:rFonts w:ascii="Arial" w:hAnsi="Arial" w:cs="Arial"/>
          <w:sz w:val="22"/>
          <w:szCs w:val="22"/>
        </w:rPr>
        <w:t>.</w:t>
      </w:r>
      <w:r w:rsidR="00774813" w:rsidRPr="00A4399B">
        <w:rPr>
          <w:rFonts w:ascii="Arial" w:hAnsi="Arial" w:cs="Arial"/>
          <w:sz w:val="22"/>
          <w:szCs w:val="22"/>
        </w:rPr>
        <w:tab/>
      </w:r>
      <w:r w:rsidR="00A83596" w:rsidRPr="00A4399B">
        <w:rPr>
          <w:rFonts w:ascii="Arial" w:hAnsi="Arial" w:cs="Arial"/>
          <w:sz w:val="22"/>
          <w:szCs w:val="22"/>
        </w:rPr>
        <w:t xml:space="preserve">Mr Cox submits that even if I </w:t>
      </w:r>
      <w:r w:rsidR="00136388" w:rsidRPr="00A4399B">
        <w:rPr>
          <w:rFonts w:ascii="Arial" w:hAnsi="Arial" w:cs="Arial"/>
          <w:sz w:val="22"/>
          <w:szCs w:val="22"/>
        </w:rPr>
        <w:t xml:space="preserve">reject his </w:t>
      </w:r>
      <w:r w:rsidR="002004A9" w:rsidRPr="00A4399B">
        <w:rPr>
          <w:rFonts w:ascii="Arial" w:hAnsi="Arial" w:cs="Arial"/>
          <w:sz w:val="22"/>
          <w:szCs w:val="22"/>
        </w:rPr>
        <w:t xml:space="preserve">primary </w:t>
      </w:r>
      <w:r w:rsidR="00136388" w:rsidRPr="00A4399B">
        <w:rPr>
          <w:rFonts w:ascii="Arial" w:hAnsi="Arial" w:cs="Arial"/>
          <w:sz w:val="22"/>
          <w:szCs w:val="22"/>
        </w:rPr>
        <w:t>submission that the threat to public health of the COVID-19</w:t>
      </w:r>
      <w:r w:rsidR="009136BD" w:rsidRPr="00A4399B">
        <w:rPr>
          <w:rFonts w:ascii="Arial" w:hAnsi="Arial" w:cs="Arial"/>
          <w:sz w:val="22"/>
          <w:szCs w:val="22"/>
        </w:rPr>
        <w:t xml:space="preserve"> pandemic justifies the provision of accommodation under section 4(2)</w:t>
      </w:r>
      <w:r w:rsidR="00FC17AF" w:rsidRPr="00A4399B">
        <w:rPr>
          <w:rFonts w:ascii="Arial" w:hAnsi="Arial" w:cs="Arial"/>
          <w:sz w:val="22"/>
          <w:szCs w:val="22"/>
        </w:rPr>
        <w:t xml:space="preserve"> of the 1999 Act to </w:t>
      </w:r>
      <w:r w:rsidR="0010296A" w:rsidRPr="00A4399B">
        <w:rPr>
          <w:rFonts w:ascii="Arial" w:hAnsi="Arial" w:cs="Arial"/>
          <w:sz w:val="22"/>
          <w:szCs w:val="22"/>
        </w:rPr>
        <w:t>persons in the appellant’s situation</w:t>
      </w:r>
      <w:r w:rsidR="00A82577" w:rsidRPr="00A4399B">
        <w:rPr>
          <w:rFonts w:ascii="Arial" w:hAnsi="Arial" w:cs="Arial"/>
          <w:sz w:val="22"/>
          <w:szCs w:val="22"/>
        </w:rPr>
        <w:t xml:space="preserve">, </w:t>
      </w:r>
      <w:r w:rsidR="00844927" w:rsidRPr="00A4399B">
        <w:rPr>
          <w:rFonts w:ascii="Arial" w:hAnsi="Arial" w:cs="Arial"/>
          <w:sz w:val="22"/>
          <w:szCs w:val="22"/>
        </w:rPr>
        <w:t>I should</w:t>
      </w:r>
      <w:r w:rsidR="0053432F" w:rsidRPr="00A4399B">
        <w:rPr>
          <w:rFonts w:ascii="Arial" w:hAnsi="Arial" w:cs="Arial"/>
          <w:sz w:val="22"/>
          <w:szCs w:val="22"/>
        </w:rPr>
        <w:t xml:space="preserve"> allow the appeal </w:t>
      </w:r>
      <w:r w:rsidR="002E4961" w:rsidRPr="00A4399B">
        <w:rPr>
          <w:rFonts w:ascii="Arial" w:hAnsi="Arial" w:cs="Arial"/>
          <w:sz w:val="22"/>
          <w:szCs w:val="22"/>
        </w:rPr>
        <w:t xml:space="preserve">on the basis </w:t>
      </w:r>
      <w:r w:rsidR="00071D87">
        <w:rPr>
          <w:rFonts w:ascii="Arial" w:hAnsi="Arial" w:cs="Arial"/>
          <w:sz w:val="22"/>
          <w:szCs w:val="22"/>
        </w:rPr>
        <w:t>firstly</w:t>
      </w:r>
      <w:r w:rsidR="008608F0">
        <w:rPr>
          <w:rFonts w:ascii="Arial" w:hAnsi="Arial" w:cs="Arial"/>
          <w:sz w:val="22"/>
          <w:szCs w:val="22"/>
        </w:rPr>
        <w:t xml:space="preserve">, </w:t>
      </w:r>
      <w:r w:rsidR="002E4961" w:rsidRPr="00A4399B">
        <w:rPr>
          <w:rFonts w:ascii="Arial" w:hAnsi="Arial" w:cs="Arial"/>
          <w:sz w:val="22"/>
          <w:szCs w:val="22"/>
        </w:rPr>
        <w:t xml:space="preserve">that </w:t>
      </w:r>
      <w:r w:rsidR="0053432F" w:rsidRPr="00A4399B">
        <w:rPr>
          <w:rFonts w:ascii="Arial" w:hAnsi="Arial" w:cs="Arial"/>
          <w:sz w:val="22"/>
          <w:szCs w:val="22"/>
        </w:rPr>
        <w:t>the appellant has put in further submissions that are not manifestly unfounded</w:t>
      </w:r>
      <w:r w:rsidR="00F47FB7" w:rsidRPr="00A4399B">
        <w:rPr>
          <w:rFonts w:ascii="Arial" w:hAnsi="Arial" w:cs="Arial"/>
          <w:sz w:val="22"/>
          <w:szCs w:val="22"/>
        </w:rPr>
        <w:t>,</w:t>
      </w:r>
      <w:r w:rsidR="002E4961" w:rsidRPr="00A4399B">
        <w:rPr>
          <w:rFonts w:ascii="Arial" w:hAnsi="Arial" w:cs="Arial"/>
          <w:sz w:val="22"/>
          <w:szCs w:val="22"/>
        </w:rPr>
        <w:t xml:space="preserve"> or </w:t>
      </w:r>
      <w:r w:rsidR="000570D8">
        <w:rPr>
          <w:rFonts w:ascii="Arial" w:hAnsi="Arial" w:cs="Arial"/>
          <w:sz w:val="22"/>
          <w:szCs w:val="22"/>
        </w:rPr>
        <w:t xml:space="preserve">secondly, </w:t>
      </w:r>
      <w:r w:rsidR="00EC186D" w:rsidRPr="00A4399B">
        <w:rPr>
          <w:rFonts w:ascii="Arial" w:hAnsi="Arial" w:cs="Arial"/>
          <w:sz w:val="22"/>
          <w:szCs w:val="22"/>
        </w:rPr>
        <w:t>if he loses</w:t>
      </w:r>
      <w:r w:rsidR="006A5A7E" w:rsidRPr="00A4399B">
        <w:rPr>
          <w:rFonts w:ascii="Arial" w:hAnsi="Arial" w:cs="Arial"/>
          <w:sz w:val="22"/>
          <w:szCs w:val="22"/>
        </w:rPr>
        <w:t>,</w:t>
      </w:r>
      <w:r w:rsidR="00EC186D" w:rsidRPr="00A4399B">
        <w:rPr>
          <w:rFonts w:ascii="Arial" w:hAnsi="Arial" w:cs="Arial"/>
          <w:sz w:val="22"/>
          <w:szCs w:val="22"/>
        </w:rPr>
        <w:t xml:space="preserve"> </w:t>
      </w:r>
      <w:r w:rsidR="0086252C">
        <w:rPr>
          <w:rFonts w:ascii="Arial" w:hAnsi="Arial" w:cs="Arial"/>
          <w:sz w:val="22"/>
          <w:szCs w:val="22"/>
        </w:rPr>
        <w:t xml:space="preserve">because </w:t>
      </w:r>
      <w:r w:rsidR="00EC186D" w:rsidRPr="00A4399B">
        <w:rPr>
          <w:rFonts w:ascii="Arial" w:hAnsi="Arial" w:cs="Arial"/>
          <w:sz w:val="22"/>
          <w:szCs w:val="22"/>
        </w:rPr>
        <w:t xml:space="preserve">he will seek </w:t>
      </w:r>
      <w:r w:rsidR="009508D7" w:rsidRPr="00A4399B">
        <w:rPr>
          <w:rFonts w:ascii="Arial" w:hAnsi="Arial" w:cs="Arial"/>
          <w:sz w:val="22"/>
          <w:szCs w:val="22"/>
        </w:rPr>
        <w:t>judicial review of my decision.</w:t>
      </w:r>
    </w:p>
    <w:p w14:paraId="6F4C712D" w14:textId="77777777" w:rsidR="0050608E" w:rsidRPr="00A4399B" w:rsidRDefault="0050608E" w:rsidP="00774813">
      <w:pPr>
        <w:spacing w:before="100" w:beforeAutospacing="1" w:after="100" w:afterAutospacing="1"/>
        <w:contextualSpacing/>
        <w:jc w:val="both"/>
        <w:rPr>
          <w:rFonts w:ascii="Arial" w:hAnsi="Arial" w:cs="Arial"/>
          <w:sz w:val="22"/>
          <w:szCs w:val="22"/>
        </w:rPr>
      </w:pPr>
    </w:p>
    <w:p w14:paraId="47C52D25" w14:textId="02713A26" w:rsidR="006071DC" w:rsidRPr="00A4399B" w:rsidRDefault="007B2F0B" w:rsidP="00271CFD">
      <w:pPr>
        <w:tabs>
          <w:tab w:val="left" w:pos="567"/>
        </w:tabs>
        <w:spacing w:before="100" w:beforeAutospacing="1" w:after="100" w:afterAutospacing="1"/>
        <w:contextualSpacing/>
        <w:jc w:val="both"/>
        <w:rPr>
          <w:rFonts w:ascii="Arial" w:hAnsi="Arial" w:cs="Arial"/>
          <w:b/>
          <w:sz w:val="22"/>
          <w:szCs w:val="22"/>
        </w:rPr>
      </w:pPr>
      <w:r w:rsidRPr="00A4399B">
        <w:rPr>
          <w:rFonts w:ascii="Arial" w:hAnsi="Arial" w:cs="Arial"/>
          <w:sz w:val="22"/>
          <w:szCs w:val="22"/>
        </w:rPr>
        <w:t>6</w:t>
      </w:r>
      <w:r w:rsidR="00271CFD">
        <w:rPr>
          <w:rFonts w:ascii="Arial" w:hAnsi="Arial" w:cs="Arial"/>
          <w:sz w:val="22"/>
          <w:szCs w:val="22"/>
        </w:rPr>
        <w:t>9</w:t>
      </w:r>
      <w:r w:rsidR="00774813" w:rsidRPr="00A4399B">
        <w:rPr>
          <w:rFonts w:ascii="Arial" w:hAnsi="Arial" w:cs="Arial"/>
          <w:sz w:val="22"/>
          <w:szCs w:val="22"/>
        </w:rPr>
        <w:t>.</w:t>
      </w:r>
      <w:r w:rsidR="00774813" w:rsidRPr="00A4399B">
        <w:rPr>
          <w:rFonts w:ascii="Arial" w:hAnsi="Arial" w:cs="Arial"/>
          <w:sz w:val="22"/>
          <w:szCs w:val="22"/>
        </w:rPr>
        <w:tab/>
      </w:r>
      <w:r w:rsidR="00D44A9D" w:rsidRPr="00A4399B">
        <w:rPr>
          <w:rFonts w:ascii="Arial" w:hAnsi="Arial" w:cs="Arial"/>
          <w:sz w:val="22"/>
          <w:szCs w:val="22"/>
        </w:rPr>
        <w:t>Both alternatives are too speculative</w:t>
      </w:r>
      <w:r w:rsidR="0005444A" w:rsidRPr="00A4399B">
        <w:rPr>
          <w:rFonts w:ascii="Arial" w:hAnsi="Arial" w:cs="Arial"/>
          <w:sz w:val="22"/>
          <w:szCs w:val="22"/>
        </w:rPr>
        <w:t>,</w:t>
      </w:r>
      <w:r w:rsidR="00D44A9D" w:rsidRPr="00A4399B">
        <w:rPr>
          <w:rFonts w:ascii="Arial" w:hAnsi="Arial" w:cs="Arial"/>
          <w:sz w:val="22"/>
          <w:szCs w:val="22"/>
        </w:rPr>
        <w:t xml:space="preserve"> in my judgment</w:t>
      </w:r>
      <w:r w:rsidR="0005444A" w:rsidRPr="00A4399B">
        <w:rPr>
          <w:rFonts w:ascii="Arial" w:hAnsi="Arial" w:cs="Arial"/>
          <w:sz w:val="22"/>
          <w:szCs w:val="22"/>
        </w:rPr>
        <w:t>,</w:t>
      </w:r>
      <w:r w:rsidR="00D44A9D" w:rsidRPr="00A4399B">
        <w:rPr>
          <w:rFonts w:ascii="Arial" w:hAnsi="Arial" w:cs="Arial"/>
          <w:sz w:val="22"/>
          <w:szCs w:val="22"/>
        </w:rPr>
        <w:t xml:space="preserve"> to justify the appeal being allowed</w:t>
      </w:r>
      <w:r w:rsidR="00136C80" w:rsidRPr="00A4399B">
        <w:rPr>
          <w:rFonts w:ascii="Arial" w:hAnsi="Arial" w:cs="Arial"/>
          <w:sz w:val="22"/>
          <w:szCs w:val="22"/>
        </w:rPr>
        <w:t xml:space="preserve">. </w:t>
      </w:r>
      <w:r w:rsidR="00DF3DC9" w:rsidRPr="00A4399B">
        <w:rPr>
          <w:rFonts w:ascii="Arial" w:hAnsi="Arial" w:cs="Arial"/>
          <w:sz w:val="22"/>
          <w:szCs w:val="22"/>
        </w:rPr>
        <w:t xml:space="preserve">Without </w:t>
      </w:r>
      <w:r w:rsidR="00EE4827" w:rsidRPr="00A4399B">
        <w:rPr>
          <w:rFonts w:ascii="Arial" w:hAnsi="Arial" w:cs="Arial"/>
          <w:sz w:val="22"/>
          <w:szCs w:val="22"/>
        </w:rPr>
        <w:t>additional</w:t>
      </w:r>
      <w:r w:rsidR="00DF3DC9" w:rsidRPr="00A4399B">
        <w:rPr>
          <w:rFonts w:ascii="Arial" w:hAnsi="Arial" w:cs="Arial"/>
          <w:sz w:val="22"/>
          <w:szCs w:val="22"/>
        </w:rPr>
        <w:t xml:space="preserve"> information of the appellant’s original asylum claim, </w:t>
      </w:r>
      <w:r w:rsidR="005E32D1" w:rsidRPr="00A4399B">
        <w:rPr>
          <w:rFonts w:ascii="Arial" w:hAnsi="Arial" w:cs="Arial"/>
          <w:sz w:val="22"/>
          <w:szCs w:val="22"/>
        </w:rPr>
        <w:t>I am not able to</w:t>
      </w:r>
      <w:r w:rsidR="00B716EB" w:rsidRPr="00A4399B">
        <w:rPr>
          <w:rFonts w:ascii="Arial" w:hAnsi="Arial" w:cs="Arial"/>
          <w:sz w:val="22"/>
          <w:szCs w:val="22"/>
        </w:rPr>
        <w:t xml:space="preserve"> say whether </w:t>
      </w:r>
      <w:r w:rsidR="0005444A" w:rsidRPr="00A4399B">
        <w:rPr>
          <w:rFonts w:ascii="Arial" w:hAnsi="Arial" w:cs="Arial"/>
          <w:sz w:val="22"/>
          <w:szCs w:val="22"/>
        </w:rPr>
        <w:t xml:space="preserve">the appellant’s </w:t>
      </w:r>
      <w:r w:rsidR="00B716EB" w:rsidRPr="00A4399B">
        <w:rPr>
          <w:rFonts w:ascii="Arial" w:hAnsi="Arial" w:cs="Arial"/>
          <w:sz w:val="22"/>
          <w:szCs w:val="22"/>
        </w:rPr>
        <w:t>further submissions are</w:t>
      </w:r>
      <w:r w:rsidR="00667083" w:rsidRPr="00A4399B">
        <w:rPr>
          <w:rFonts w:ascii="Arial" w:hAnsi="Arial" w:cs="Arial"/>
          <w:sz w:val="22"/>
          <w:szCs w:val="22"/>
        </w:rPr>
        <w:t xml:space="preserve"> </w:t>
      </w:r>
      <w:r w:rsidR="00EE5E99" w:rsidRPr="00A4399B">
        <w:rPr>
          <w:rFonts w:ascii="Arial" w:hAnsi="Arial" w:cs="Arial"/>
          <w:sz w:val="22"/>
          <w:szCs w:val="22"/>
          <w:lang w:eastAsia="en-US"/>
        </w:rPr>
        <w:t xml:space="preserve">merely a repetition of </w:t>
      </w:r>
      <w:r w:rsidR="00EE4827" w:rsidRPr="00A4399B">
        <w:rPr>
          <w:rFonts w:ascii="Arial" w:hAnsi="Arial" w:cs="Arial"/>
          <w:sz w:val="22"/>
          <w:szCs w:val="22"/>
          <w:lang w:eastAsia="en-US"/>
        </w:rPr>
        <w:t>his</w:t>
      </w:r>
      <w:r w:rsidR="00EE5E99" w:rsidRPr="00A4399B">
        <w:rPr>
          <w:rFonts w:ascii="Arial" w:hAnsi="Arial" w:cs="Arial"/>
          <w:sz w:val="22"/>
          <w:szCs w:val="22"/>
          <w:lang w:eastAsia="en-US"/>
        </w:rPr>
        <w:t xml:space="preserve"> </w:t>
      </w:r>
      <w:r w:rsidR="00415D2F" w:rsidRPr="00A4399B">
        <w:rPr>
          <w:rFonts w:ascii="Arial" w:hAnsi="Arial" w:cs="Arial"/>
          <w:sz w:val="22"/>
          <w:szCs w:val="22"/>
          <w:lang w:eastAsia="en-US"/>
        </w:rPr>
        <w:t xml:space="preserve">earlier </w:t>
      </w:r>
      <w:r w:rsidR="00EE5E99" w:rsidRPr="00A4399B">
        <w:rPr>
          <w:rFonts w:ascii="Arial" w:hAnsi="Arial" w:cs="Arial"/>
          <w:sz w:val="22"/>
          <w:szCs w:val="22"/>
          <w:lang w:eastAsia="en-US"/>
        </w:rPr>
        <w:t xml:space="preserve">application, rejected </w:t>
      </w:r>
      <w:r w:rsidR="009A2870" w:rsidRPr="00A4399B">
        <w:rPr>
          <w:rFonts w:ascii="Arial" w:hAnsi="Arial" w:cs="Arial"/>
          <w:sz w:val="22"/>
          <w:szCs w:val="22"/>
          <w:lang w:eastAsia="en-US"/>
        </w:rPr>
        <w:t>on 30 June 2020</w:t>
      </w:r>
      <w:r w:rsidR="00C91B2B" w:rsidRPr="00A4399B">
        <w:rPr>
          <w:rFonts w:ascii="Arial" w:hAnsi="Arial" w:cs="Arial"/>
          <w:sz w:val="22"/>
          <w:szCs w:val="22"/>
          <w:lang w:eastAsia="en-US"/>
        </w:rPr>
        <w:t xml:space="preserve"> and thus,</w:t>
      </w:r>
      <w:r w:rsidR="00015B54" w:rsidRPr="00A4399B">
        <w:rPr>
          <w:rFonts w:ascii="Arial" w:hAnsi="Arial" w:cs="Arial"/>
          <w:sz w:val="22"/>
          <w:szCs w:val="22"/>
          <w:lang w:eastAsia="en-US"/>
        </w:rPr>
        <w:t xml:space="preserve"> </w:t>
      </w:r>
      <w:r w:rsidR="00D9413E" w:rsidRPr="00A4399B">
        <w:rPr>
          <w:rFonts w:ascii="Arial" w:hAnsi="Arial" w:cs="Arial"/>
          <w:sz w:val="22"/>
          <w:szCs w:val="22"/>
          <w:lang w:eastAsia="en-US"/>
        </w:rPr>
        <w:t>“</w:t>
      </w:r>
      <w:r w:rsidR="00C91B2B" w:rsidRPr="00A4399B">
        <w:rPr>
          <w:rFonts w:ascii="Arial" w:hAnsi="Arial" w:cs="Arial"/>
          <w:i/>
          <w:sz w:val="22"/>
          <w:szCs w:val="22"/>
          <w:lang w:eastAsia="en-US"/>
        </w:rPr>
        <w:t>obviously hopeless or abusive</w:t>
      </w:r>
      <w:r w:rsidR="00D9413E" w:rsidRPr="00A4399B">
        <w:rPr>
          <w:rFonts w:ascii="Arial" w:hAnsi="Arial" w:cs="Arial"/>
          <w:i/>
          <w:sz w:val="22"/>
          <w:szCs w:val="22"/>
          <w:lang w:eastAsia="en-US"/>
        </w:rPr>
        <w:t>”</w:t>
      </w:r>
      <w:bookmarkStart w:id="20" w:name="para66"/>
      <w:bookmarkStart w:id="21" w:name="para63"/>
      <w:r w:rsidR="00D02FE8" w:rsidRPr="00A4399B">
        <w:rPr>
          <w:rFonts w:ascii="Arial" w:hAnsi="Arial" w:cs="Arial"/>
          <w:sz w:val="22"/>
          <w:szCs w:val="22"/>
        </w:rPr>
        <w:t xml:space="preserve"> to use the words of Maurice Kay LJ</w:t>
      </w:r>
      <w:bookmarkEnd w:id="20"/>
      <w:r w:rsidR="00D02FE8" w:rsidRPr="00A4399B">
        <w:rPr>
          <w:rFonts w:ascii="Arial" w:hAnsi="Arial" w:cs="Arial"/>
          <w:i/>
          <w:sz w:val="22"/>
          <w:szCs w:val="22"/>
          <w:lang w:eastAsia="en-US"/>
        </w:rPr>
        <w:t xml:space="preserve"> </w:t>
      </w:r>
      <w:r w:rsidR="00E02F67" w:rsidRPr="00A4399B">
        <w:rPr>
          <w:rFonts w:ascii="Arial" w:hAnsi="Arial" w:cs="Arial"/>
          <w:sz w:val="22"/>
          <w:szCs w:val="22"/>
        </w:rPr>
        <w:t>[at 57],</w:t>
      </w:r>
      <w:r w:rsidR="0009435C" w:rsidRPr="00A4399B">
        <w:rPr>
          <w:rFonts w:ascii="Arial" w:hAnsi="Arial" w:cs="Arial"/>
          <w:sz w:val="22"/>
          <w:szCs w:val="22"/>
          <w:lang w:eastAsia="en-US"/>
        </w:rPr>
        <w:t xml:space="preserve"> in </w:t>
      </w:r>
      <w:r w:rsidR="0009435C" w:rsidRPr="00A4399B">
        <w:rPr>
          <w:rFonts w:ascii="Arial" w:hAnsi="Arial" w:cs="Arial"/>
          <w:b/>
          <w:i/>
          <w:iCs/>
          <w:sz w:val="22"/>
          <w:szCs w:val="22"/>
        </w:rPr>
        <w:t>(M) v Islington Borough Council</w:t>
      </w:r>
      <w:r w:rsidR="00E02F67" w:rsidRPr="00A4399B">
        <w:rPr>
          <w:rFonts w:ascii="Arial" w:hAnsi="Arial" w:cs="Arial"/>
          <w:b/>
          <w:i/>
          <w:iCs/>
          <w:sz w:val="22"/>
          <w:szCs w:val="22"/>
        </w:rPr>
        <w:t xml:space="preserve"> </w:t>
      </w:r>
      <w:r w:rsidR="00E02F67" w:rsidRPr="00A4399B">
        <w:rPr>
          <w:rFonts w:ascii="Arial" w:hAnsi="Arial" w:cs="Arial"/>
          <w:b/>
          <w:iCs/>
          <w:sz w:val="22"/>
          <w:szCs w:val="22"/>
        </w:rPr>
        <w:t>[2004] EWCA Civ 235.</w:t>
      </w:r>
      <w:r w:rsidR="0009435C" w:rsidRPr="00A4399B">
        <w:rPr>
          <w:rFonts w:ascii="Arial" w:hAnsi="Arial" w:cs="Arial"/>
          <w:b/>
          <w:sz w:val="22"/>
          <w:szCs w:val="22"/>
        </w:rPr>
        <w:t xml:space="preserve"> </w:t>
      </w:r>
    </w:p>
    <w:p w14:paraId="52B146FF" w14:textId="77777777" w:rsidR="005307C6" w:rsidRPr="00A4399B" w:rsidRDefault="005307C6" w:rsidP="005307C6">
      <w:pPr>
        <w:spacing w:before="100" w:beforeAutospacing="1" w:after="100" w:afterAutospacing="1"/>
        <w:contextualSpacing/>
        <w:jc w:val="both"/>
        <w:rPr>
          <w:rFonts w:ascii="Arial" w:hAnsi="Arial" w:cs="Arial"/>
          <w:sz w:val="22"/>
          <w:szCs w:val="22"/>
        </w:rPr>
      </w:pPr>
    </w:p>
    <w:p w14:paraId="72051414" w14:textId="67DA8049" w:rsidR="00A54DB0" w:rsidRPr="00A4399B" w:rsidRDefault="00271CFD" w:rsidP="00271CFD">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70</w:t>
      </w:r>
      <w:r w:rsidR="00774813" w:rsidRPr="00A4399B">
        <w:rPr>
          <w:rFonts w:ascii="Arial" w:hAnsi="Arial" w:cs="Arial"/>
          <w:sz w:val="22"/>
          <w:szCs w:val="22"/>
        </w:rPr>
        <w:t>.</w:t>
      </w:r>
      <w:r w:rsidR="00774813" w:rsidRPr="00A4399B">
        <w:rPr>
          <w:rFonts w:ascii="Arial" w:hAnsi="Arial" w:cs="Arial"/>
          <w:sz w:val="22"/>
          <w:szCs w:val="22"/>
        </w:rPr>
        <w:tab/>
      </w:r>
      <w:r w:rsidR="00F40C77" w:rsidRPr="00A4399B">
        <w:rPr>
          <w:rFonts w:ascii="Arial" w:hAnsi="Arial" w:cs="Arial"/>
          <w:sz w:val="22"/>
          <w:szCs w:val="22"/>
        </w:rPr>
        <w:t xml:space="preserve">However, </w:t>
      </w:r>
      <w:r w:rsidR="004D7810" w:rsidRPr="00A4399B">
        <w:rPr>
          <w:rFonts w:ascii="Arial" w:hAnsi="Arial" w:cs="Arial"/>
          <w:sz w:val="22"/>
          <w:szCs w:val="22"/>
        </w:rPr>
        <w:t xml:space="preserve">obviously hopeless or abusive </w:t>
      </w:r>
      <w:r w:rsidR="00665791" w:rsidRPr="00A4399B">
        <w:rPr>
          <w:rFonts w:ascii="Arial" w:hAnsi="Arial" w:cs="Arial"/>
          <w:sz w:val="22"/>
          <w:szCs w:val="22"/>
        </w:rPr>
        <w:t xml:space="preserve">claims </w:t>
      </w:r>
      <w:r w:rsidR="004D7810" w:rsidRPr="00A4399B">
        <w:rPr>
          <w:rFonts w:ascii="Arial" w:hAnsi="Arial" w:cs="Arial"/>
          <w:sz w:val="22"/>
          <w:szCs w:val="22"/>
        </w:rPr>
        <w:t xml:space="preserve">apart, </w:t>
      </w:r>
      <w:r w:rsidR="0001431A" w:rsidRPr="00A4399B">
        <w:rPr>
          <w:rFonts w:ascii="Arial" w:hAnsi="Arial" w:cs="Arial"/>
          <w:sz w:val="22"/>
          <w:szCs w:val="22"/>
        </w:rPr>
        <w:t>the SSHD</w:t>
      </w:r>
      <w:r w:rsidR="00D603C0" w:rsidRPr="00A4399B">
        <w:rPr>
          <w:rFonts w:ascii="Arial" w:hAnsi="Arial" w:cs="Arial"/>
          <w:sz w:val="22"/>
          <w:szCs w:val="22"/>
        </w:rPr>
        <w:t xml:space="preserve"> should not refuse </w:t>
      </w:r>
      <w:r w:rsidR="00665791" w:rsidRPr="00A4399B">
        <w:rPr>
          <w:rFonts w:ascii="Arial" w:hAnsi="Arial" w:cs="Arial"/>
          <w:sz w:val="22"/>
          <w:szCs w:val="22"/>
        </w:rPr>
        <w:t>support</w:t>
      </w:r>
      <w:r w:rsidR="00D603C0" w:rsidRPr="00A4399B">
        <w:rPr>
          <w:rFonts w:ascii="Arial" w:hAnsi="Arial" w:cs="Arial"/>
          <w:sz w:val="22"/>
          <w:szCs w:val="22"/>
        </w:rPr>
        <w:t xml:space="preserve"> if that would have the effect of requiring</w:t>
      </w:r>
      <w:r w:rsidR="004B4188" w:rsidRPr="00A4399B">
        <w:rPr>
          <w:rFonts w:ascii="Arial" w:hAnsi="Arial" w:cs="Arial"/>
          <w:sz w:val="22"/>
          <w:szCs w:val="22"/>
        </w:rPr>
        <w:t xml:space="preserve"> the appellant to leave the UK thereby forfeiting </w:t>
      </w:r>
      <w:r w:rsidR="0029304D" w:rsidRPr="00A4399B">
        <w:rPr>
          <w:rFonts w:ascii="Arial" w:hAnsi="Arial" w:cs="Arial"/>
          <w:sz w:val="22"/>
          <w:szCs w:val="22"/>
        </w:rPr>
        <w:t>an arguable application for leave to remain on Convention grounds</w:t>
      </w:r>
      <w:r w:rsidR="00E062DC" w:rsidRPr="00A4399B">
        <w:rPr>
          <w:rFonts w:ascii="Arial" w:hAnsi="Arial" w:cs="Arial"/>
          <w:sz w:val="22"/>
          <w:szCs w:val="22"/>
        </w:rPr>
        <w:t xml:space="preserve">. </w:t>
      </w:r>
      <w:r w:rsidR="003A6FE1" w:rsidRPr="00A4399B">
        <w:rPr>
          <w:rFonts w:ascii="Arial" w:hAnsi="Arial" w:cs="Arial"/>
          <w:sz w:val="22"/>
          <w:szCs w:val="22"/>
        </w:rPr>
        <w:t>(</w:t>
      </w:r>
      <w:r w:rsidR="00E062DC" w:rsidRPr="00A4399B">
        <w:rPr>
          <w:rFonts w:ascii="Arial" w:hAnsi="Arial" w:cs="Arial"/>
          <w:sz w:val="22"/>
          <w:szCs w:val="22"/>
        </w:rPr>
        <w:t xml:space="preserve">Dyson LJ </w:t>
      </w:r>
      <w:r w:rsidR="00F20A69" w:rsidRPr="00A4399B">
        <w:rPr>
          <w:rFonts w:ascii="Arial" w:hAnsi="Arial" w:cs="Arial"/>
          <w:sz w:val="22"/>
          <w:szCs w:val="22"/>
        </w:rPr>
        <w:t>[</w:t>
      </w:r>
      <w:r w:rsidR="00E062DC" w:rsidRPr="00A4399B">
        <w:rPr>
          <w:rFonts w:ascii="Arial" w:hAnsi="Arial" w:cs="Arial"/>
          <w:sz w:val="22"/>
          <w:szCs w:val="22"/>
        </w:rPr>
        <w:t>a</w:t>
      </w:r>
      <w:r w:rsidR="00F20A69" w:rsidRPr="00A4399B">
        <w:rPr>
          <w:rFonts w:ascii="Arial" w:hAnsi="Arial" w:cs="Arial"/>
          <w:sz w:val="22"/>
          <w:szCs w:val="22"/>
        </w:rPr>
        <w:t xml:space="preserve">t 66] </w:t>
      </w:r>
      <w:r w:rsidR="00F20A69" w:rsidRPr="00A4399B">
        <w:rPr>
          <w:rFonts w:ascii="Arial" w:hAnsi="Arial" w:cs="Arial"/>
          <w:b/>
          <w:i/>
          <w:sz w:val="22"/>
          <w:szCs w:val="22"/>
        </w:rPr>
        <w:t>Birmingham City Council v Clue</w:t>
      </w:r>
      <w:r w:rsidR="00F20A69" w:rsidRPr="00A4399B">
        <w:rPr>
          <w:rFonts w:ascii="Arial" w:hAnsi="Arial" w:cs="Arial"/>
          <w:b/>
          <w:sz w:val="22"/>
          <w:szCs w:val="22"/>
        </w:rPr>
        <w:t xml:space="preserve"> [2010] EWCA Civ 460</w:t>
      </w:r>
      <w:r w:rsidR="003A6FE1" w:rsidRPr="00A4399B">
        <w:rPr>
          <w:rFonts w:ascii="Arial" w:hAnsi="Arial" w:cs="Arial"/>
          <w:b/>
          <w:sz w:val="22"/>
          <w:szCs w:val="22"/>
        </w:rPr>
        <w:t>).</w:t>
      </w:r>
    </w:p>
    <w:bookmarkEnd w:id="21"/>
    <w:p w14:paraId="33FE6E3B" w14:textId="23A43945" w:rsidR="00226D2B" w:rsidRPr="00A4399B" w:rsidRDefault="00226D2B" w:rsidP="005307C6">
      <w:pPr>
        <w:tabs>
          <w:tab w:val="num" w:pos="567"/>
        </w:tabs>
        <w:jc w:val="both"/>
        <w:rPr>
          <w:rFonts w:ascii="Arial" w:hAnsi="Arial" w:cs="Arial"/>
          <w:sz w:val="22"/>
          <w:szCs w:val="22"/>
        </w:rPr>
      </w:pPr>
    </w:p>
    <w:p w14:paraId="21D09EDC" w14:textId="77777777" w:rsidR="00706728" w:rsidRPr="00A4399B" w:rsidRDefault="00706728" w:rsidP="00706728">
      <w:pPr>
        <w:jc w:val="both"/>
        <w:rPr>
          <w:rFonts w:ascii="Arial" w:hAnsi="Arial" w:cs="Arial"/>
          <w:b/>
          <w:sz w:val="22"/>
          <w:szCs w:val="22"/>
        </w:rPr>
      </w:pPr>
      <w:r w:rsidRPr="00A4399B">
        <w:rPr>
          <w:rFonts w:ascii="Arial" w:hAnsi="Arial" w:cs="Arial"/>
          <w:b/>
          <w:sz w:val="22"/>
          <w:szCs w:val="22"/>
        </w:rPr>
        <w:t>Barring the SSHD from taking part in appeals</w:t>
      </w:r>
    </w:p>
    <w:p w14:paraId="5B6B203B" w14:textId="77777777" w:rsidR="00706728" w:rsidRPr="00A4399B" w:rsidRDefault="00706728" w:rsidP="00706728">
      <w:pPr>
        <w:pStyle w:val="ListParagraph"/>
        <w:jc w:val="both"/>
        <w:rPr>
          <w:rFonts w:ascii="Arial" w:hAnsi="Arial" w:cs="Arial"/>
          <w:sz w:val="22"/>
          <w:szCs w:val="22"/>
        </w:rPr>
      </w:pPr>
    </w:p>
    <w:p w14:paraId="37C06E1F" w14:textId="659BC4EA" w:rsidR="00706728" w:rsidRPr="00A4399B" w:rsidRDefault="00271CFD" w:rsidP="00271CFD">
      <w:pPr>
        <w:pStyle w:val="Default"/>
        <w:tabs>
          <w:tab w:val="left" w:pos="567"/>
        </w:tabs>
        <w:jc w:val="both"/>
        <w:rPr>
          <w:rFonts w:ascii="Arial" w:hAnsi="Arial" w:cs="Arial"/>
          <w:color w:val="auto"/>
          <w:sz w:val="22"/>
          <w:szCs w:val="22"/>
        </w:rPr>
      </w:pPr>
      <w:r>
        <w:rPr>
          <w:rFonts w:ascii="Arial" w:hAnsi="Arial" w:cs="Arial"/>
          <w:color w:val="auto"/>
          <w:sz w:val="22"/>
          <w:szCs w:val="22"/>
        </w:rPr>
        <w:t>71</w:t>
      </w:r>
      <w:r w:rsidR="00706728" w:rsidRPr="00A4399B">
        <w:rPr>
          <w:rFonts w:ascii="Arial" w:hAnsi="Arial" w:cs="Arial"/>
          <w:color w:val="auto"/>
          <w:sz w:val="22"/>
          <w:szCs w:val="22"/>
        </w:rPr>
        <w:t>.</w:t>
      </w:r>
      <w:r w:rsidR="00706728" w:rsidRPr="00A4399B">
        <w:rPr>
          <w:rFonts w:ascii="Arial" w:hAnsi="Arial" w:cs="Arial"/>
          <w:color w:val="auto"/>
          <w:sz w:val="22"/>
          <w:szCs w:val="22"/>
        </w:rPr>
        <w:tab/>
      </w:r>
      <w:r w:rsidR="00F91981" w:rsidRPr="00A4399B">
        <w:rPr>
          <w:rFonts w:ascii="Arial" w:hAnsi="Arial" w:cs="Arial"/>
          <w:color w:val="auto"/>
          <w:sz w:val="22"/>
          <w:szCs w:val="22"/>
        </w:rPr>
        <w:t>Finally</w:t>
      </w:r>
      <w:r w:rsidR="0089208B" w:rsidRPr="00A4399B">
        <w:rPr>
          <w:rFonts w:ascii="Arial" w:hAnsi="Arial" w:cs="Arial"/>
          <w:color w:val="auto"/>
          <w:sz w:val="22"/>
          <w:szCs w:val="22"/>
        </w:rPr>
        <w:t xml:space="preserve">, </w:t>
      </w:r>
      <w:r w:rsidR="00706728" w:rsidRPr="00A4399B">
        <w:rPr>
          <w:rFonts w:ascii="Arial" w:hAnsi="Arial" w:cs="Arial"/>
          <w:color w:val="auto"/>
          <w:sz w:val="22"/>
          <w:szCs w:val="22"/>
        </w:rPr>
        <w:t>in the light of the criticism made by the SSHD’s legal team of the Tribunal’s use of rule 8(3)(c), it is useful</w:t>
      </w:r>
      <w:r w:rsidR="0086252C">
        <w:rPr>
          <w:rFonts w:ascii="Arial" w:hAnsi="Arial" w:cs="Arial"/>
          <w:color w:val="auto"/>
          <w:sz w:val="22"/>
          <w:szCs w:val="22"/>
        </w:rPr>
        <w:t>,</w:t>
      </w:r>
      <w:r w:rsidR="00706728" w:rsidRPr="00A4399B">
        <w:rPr>
          <w:rFonts w:ascii="Arial" w:hAnsi="Arial" w:cs="Arial"/>
          <w:color w:val="auto"/>
          <w:sz w:val="22"/>
          <w:szCs w:val="22"/>
        </w:rPr>
        <w:t xml:space="preserve"> for reference in future cases</w:t>
      </w:r>
      <w:r w:rsidR="0086252C">
        <w:rPr>
          <w:rFonts w:ascii="Arial" w:hAnsi="Arial" w:cs="Arial"/>
          <w:color w:val="auto"/>
          <w:sz w:val="22"/>
          <w:szCs w:val="22"/>
        </w:rPr>
        <w:t>,</w:t>
      </w:r>
      <w:r w:rsidR="00706728" w:rsidRPr="00A4399B">
        <w:rPr>
          <w:rFonts w:ascii="Arial" w:hAnsi="Arial" w:cs="Arial"/>
          <w:color w:val="auto"/>
          <w:sz w:val="22"/>
          <w:szCs w:val="22"/>
        </w:rPr>
        <w:t xml:space="preserve"> to set out how the rule operates. A decision to bar a respondent (where the Tribunal considers there is no reasonable prospect of the respondent’s case succeeding), is provided for under rule 8(3)(c) of the Tribunal Procedure Rules, but not without first providing the respondent an opportunity to make representations (rule 8(4)). Once </w:t>
      </w:r>
      <w:r w:rsidR="0078134A">
        <w:rPr>
          <w:rFonts w:ascii="Arial" w:hAnsi="Arial" w:cs="Arial"/>
          <w:color w:val="auto"/>
          <w:sz w:val="22"/>
          <w:szCs w:val="22"/>
        </w:rPr>
        <w:t>a party is</w:t>
      </w:r>
      <w:r w:rsidR="00A117A6">
        <w:rPr>
          <w:rFonts w:ascii="Arial" w:hAnsi="Arial" w:cs="Arial"/>
          <w:color w:val="auto"/>
          <w:sz w:val="22"/>
          <w:szCs w:val="22"/>
        </w:rPr>
        <w:t xml:space="preserve"> </w:t>
      </w:r>
      <w:r w:rsidR="00706728" w:rsidRPr="00A4399B">
        <w:rPr>
          <w:rFonts w:ascii="Arial" w:hAnsi="Arial" w:cs="Arial"/>
          <w:color w:val="auto"/>
          <w:sz w:val="22"/>
          <w:szCs w:val="22"/>
        </w:rPr>
        <w:t xml:space="preserve">barred under rule 8(3)(c), the Rules do not allow the bar to be lifted or for late submissions to be taken into consideration (rule 8(8)). </w:t>
      </w:r>
      <w:r w:rsidR="0086252C">
        <w:rPr>
          <w:rFonts w:ascii="Arial" w:hAnsi="Arial" w:cs="Arial"/>
          <w:color w:val="auto"/>
          <w:sz w:val="22"/>
          <w:szCs w:val="22"/>
        </w:rPr>
        <w:t>Other than</w:t>
      </w:r>
      <w:r w:rsidR="00077C39">
        <w:rPr>
          <w:rFonts w:ascii="Arial" w:hAnsi="Arial" w:cs="Arial"/>
          <w:color w:val="auto"/>
          <w:sz w:val="22"/>
          <w:szCs w:val="22"/>
        </w:rPr>
        <w:t xml:space="preserve"> in</w:t>
      </w:r>
      <w:r w:rsidR="00706728" w:rsidRPr="00A4399B">
        <w:rPr>
          <w:rFonts w:ascii="Arial" w:hAnsi="Arial" w:cs="Arial"/>
          <w:color w:val="auto"/>
          <w:sz w:val="22"/>
          <w:szCs w:val="22"/>
        </w:rPr>
        <w:t xml:space="preserve"> this appeal, the SSHD, has consistently failed to respond to </w:t>
      </w:r>
      <w:r w:rsidR="00077C39">
        <w:rPr>
          <w:rFonts w:ascii="Arial" w:hAnsi="Arial" w:cs="Arial"/>
          <w:color w:val="auto"/>
          <w:sz w:val="22"/>
          <w:szCs w:val="22"/>
        </w:rPr>
        <w:t>Tribunal</w:t>
      </w:r>
      <w:r w:rsidR="00706728" w:rsidRPr="00A4399B">
        <w:rPr>
          <w:rFonts w:ascii="Arial" w:hAnsi="Arial" w:cs="Arial"/>
          <w:color w:val="auto"/>
          <w:sz w:val="22"/>
          <w:szCs w:val="22"/>
        </w:rPr>
        <w:t xml:space="preserve"> directions, to make timely submissions or request an oral hearing of an appeal </w:t>
      </w:r>
      <w:r w:rsidR="006E4F38">
        <w:rPr>
          <w:rFonts w:ascii="Arial" w:hAnsi="Arial" w:cs="Arial"/>
          <w:color w:val="auto"/>
          <w:sz w:val="22"/>
          <w:szCs w:val="22"/>
        </w:rPr>
        <w:t xml:space="preserve">when issued with notice of </w:t>
      </w:r>
      <w:r w:rsidR="00842A51">
        <w:rPr>
          <w:rFonts w:ascii="Arial" w:hAnsi="Arial" w:cs="Arial"/>
          <w:color w:val="auto"/>
          <w:sz w:val="22"/>
          <w:szCs w:val="22"/>
        </w:rPr>
        <w:t>intention to bar her from taking further part in proceedings</w:t>
      </w:r>
      <w:r w:rsidR="00284833">
        <w:rPr>
          <w:rFonts w:ascii="Arial" w:hAnsi="Arial" w:cs="Arial"/>
          <w:color w:val="auto"/>
          <w:sz w:val="22"/>
          <w:szCs w:val="22"/>
        </w:rPr>
        <w:t>.</w:t>
      </w:r>
      <w:r w:rsidR="00DB107C">
        <w:rPr>
          <w:rFonts w:ascii="Arial" w:hAnsi="Arial" w:cs="Arial"/>
          <w:color w:val="auto"/>
          <w:sz w:val="22"/>
          <w:szCs w:val="22"/>
        </w:rPr>
        <w:t xml:space="preserve"> </w:t>
      </w:r>
      <w:r w:rsidR="001D716F">
        <w:rPr>
          <w:rFonts w:ascii="Arial" w:hAnsi="Arial" w:cs="Arial"/>
          <w:color w:val="auto"/>
          <w:sz w:val="22"/>
          <w:szCs w:val="22"/>
        </w:rPr>
        <w:t xml:space="preserve">If </w:t>
      </w:r>
      <w:r w:rsidR="0086252C">
        <w:rPr>
          <w:rFonts w:ascii="Arial" w:hAnsi="Arial" w:cs="Arial"/>
          <w:color w:val="auto"/>
          <w:sz w:val="22"/>
          <w:szCs w:val="22"/>
        </w:rPr>
        <w:t>the SSHD</w:t>
      </w:r>
      <w:r w:rsidR="001D716F">
        <w:rPr>
          <w:rFonts w:ascii="Arial" w:hAnsi="Arial" w:cs="Arial"/>
          <w:color w:val="auto"/>
          <w:sz w:val="22"/>
          <w:szCs w:val="22"/>
        </w:rPr>
        <w:t xml:space="preserve"> does not wish to be </w:t>
      </w:r>
      <w:r w:rsidR="0017526D">
        <w:rPr>
          <w:rFonts w:ascii="Arial" w:hAnsi="Arial" w:cs="Arial"/>
          <w:color w:val="auto"/>
          <w:sz w:val="22"/>
          <w:szCs w:val="22"/>
        </w:rPr>
        <w:t>barred,</w:t>
      </w:r>
      <w:r w:rsidR="001D716F">
        <w:rPr>
          <w:rFonts w:ascii="Arial" w:hAnsi="Arial" w:cs="Arial"/>
          <w:color w:val="auto"/>
          <w:sz w:val="22"/>
          <w:szCs w:val="22"/>
        </w:rPr>
        <w:t xml:space="preserve"> she must respond</w:t>
      </w:r>
      <w:r w:rsidR="00513978">
        <w:rPr>
          <w:rFonts w:ascii="Arial" w:hAnsi="Arial" w:cs="Arial"/>
          <w:color w:val="auto"/>
          <w:sz w:val="22"/>
          <w:szCs w:val="22"/>
        </w:rPr>
        <w:t xml:space="preserve"> to directions. </w:t>
      </w:r>
      <w:r w:rsidR="00706728" w:rsidRPr="00A4399B">
        <w:rPr>
          <w:rFonts w:ascii="Arial" w:hAnsi="Arial" w:cs="Arial"/>
          <w:color w:val="auto"/>
          <w:sz w:val="22"/>
          <w:szCs w:val="22"/>
        </w:rPr>
        <w:t xml:space="preserve"> </w:t>
      </w:r>
    </w:p>
    <w:p w14:paraId="6C4D6A4F" w14:textId="77777777" w:rsidR="00706728" w:rsidRPr="00A4399B" w:rsidRDefault="00706728" w:rsidP="00706728">
      <w:pPr>
        <w:pStyle w:val="Default"/>
        <w:jc w:val="both"/>
        <w:rPr>
          <w:rFonts w:ascii="Arial" w:hAnsi="Arial" w:cs="Arial"/>
          <w:color w:val="auto"/>
          <w:sz w:val="22"/>
          <w:szCs w:val="22"/>
        </w:rPr>
      </w:pPr>
    </w:p>
    <w:p w14:paraId="42D79238" w14:textId="2595BD58" w:rsidR="00226D2B" w:rsidRPr="00AF5D7C" w:rsidRDefault="00271CFD" w:rsidP="00AF5D7C">
      <w:pPr>
        <w:pStyle w:val="Default"/>
        <w:tabs>
          <w:tab w:val="left" w:pos="567"/>
        </w:tabs>
        <w:jc w:val="both"/>
        <w:rPr>
          <w:rFonts w:ascii="Arial" w:hAnsi="Arial" w:cs="Arial"/>
          <w:color w:val="auto"/>
          <w:sz w:val="22"/>
          <w:szCs w:val="22"/>
        </w:rPr>
      </w:pPr>
      <w:r>
        <w:rPr>
          <w:rFonts w:ascii="Arial" w:hAnsi="Arial" w:cs="Arial"/>
          <w:color w:val="auto"/>
          <w:sz w:val="22"/>
          <w:szCs w:val="22"/>
        </w:rPr>
        <w:t>72</w:t>
      </w:r>
      <w:r w:rsidR="00706728" w:rsidRPr="00A4399B">
        <w:rPr>
          <w:rFonts w:ascii="Arial" w:hAnsi="Arial" w:cs="Arial"/>
          <w:color w:val="auto"/>
          <w:sz w:val="22"/>
          <w:szCs w:val="22"/>
        </w:rPr>
        <w:t>.</w:t>
      </w:r>
      <w:r w:rsidR="00706728" w:rsidRPr="00A4399B">
        <w:rPr>
          <w:rFonts w:ascii="Arial" w:hAnsi="Arial" w:cs="Arial"/>
          <w:color w:val="auto"/>
          <w:sz w:val="22"/>
          <w:szCs w:val="22"/>
        </w:rPr>
        <w:tab/>
        <w:t>It is worth stating that the SSHD is given the same time frame within which to respond to directions as appellants who are often unrepresented destitute (failed) asylum seekers. Be that as it may, I am satisfied that the threshold for making an order under Rule 8(3)(c) is high, and the strike out procedure should be reserved for when there is no realistic prospect of success. (</w:t>
      </w:r>
      <w:r w:rsidR="00706728" w:rsidRPr="00A4399B">
        <w:rPr>
          <w:rFonts w:ascii="Arial" w:hAnsi="Arial" w:cs="Arial"/>
          <w:i/>
          <w:color w:val="auto"/>
          <w:sz w:val="22"/>
          <w:szCs w:val="22"/>
        </w:rPr>
        <w:t>ED &amp; F Man Liquid Products v Patel</w:t>
      </w:r>
      <w:r w:rsidR="00706728" w:rsidRPr="00A4399B">
        <w:rPr>
          <w:rFonts w:ascii="Arial" w:hAnsi="Arial" w:cs="Arial"/>
          <w:color w:val="auto"/>
          <w:sz w:val="22"/>
          <w:szCs w:val="22"/>
        </w:rPr>
        <w:t xml:space="preserve"> [2003] EWCA Civ 472). </w:t>
      </w:r>
      <w:r w:rsidR="00706728" w:rsidRPr="00167D6C">
        <w:rPr>
          <w:rFonts w:ascii="Arial" w:hAnsi="Arial" w:cs="Arial"/>
          <w:color w:val="auto"/>
          <w:sz w:val="22"/>
          <w:szCs w:val="22"/>
        </w:rPr>
        <w:t>In this appeal,</w:t>
      </w:r>
      <w:r w:rsidR="00706728" w:rsidRPr="00A4399B">
        <w:rPr>
          <w:rFonts w:ascii="Arial" w:hAnsi="Arial" w:cs="Arial"/>
          <w:color w:val="auto"/>
          <w:sz w:val="22"/>
          <w:szCs w:val="22"/>
        </w:rPr>
        <w:t xml:space="preserve"> the SSHD legal team has established that her case is arguable and is not without a realistic prospect of success. </w:t>
      </w:r>
      <w:r w:rsidR="00D128BB">
        <w:rPr>
          <w:rFonts w:ascii="Arial" w:hAnsi="Arial" w:cs="Arial"/>
          <w:color w:val="auto"/>
          <w:sz w:val="22"/>
          <w:szCs w:val="22"/>
        </w:rPr>
        <w:t>Giving effect to</w:t>
      </w:r>
      <w:r w:rsidR="00922503">
        <w:rPr>
          <w:rFonts w:ascii="Arial" w:hAnsi="Arial" w:cs="Arial"/>
          <w:color w:val="auto"/>
          <w:sz w:val="22"/>
          <w:szCs w:val="22"/>
        </w:rPr>
        <w:t xml:space="preserve"> the overriding objective in rule 2</w:t>
      </w:r>
      <w:r w:rsidR="00FE3D89">
        <w:rPr>
          <w:rFonts w:ascii="Arial" w:hAnsi="Arial" w:cs="Arial"/>
          <w:color w:val="auto"/>
          <w:sz w:val="22"/>
          <w:szCs w:val="22"/>
        </w:rPr>
        <w:t xml:space="preserve"> of the Tribunal Procedure Rules</w:t>
      </w:r>
      <w:r w:rsidR="00A44DE0">
        <w:rPr>
          <w:rFonts w:ascii="Arial" w:hAnsi="Arial" w:cs="Arial"/>
          <w:color w:val="auto"/>
          <w:sz w:val="22"/>
          <w:szCs w:val="22"/>
        </w:rPr>
        <w:t xml:space="preserve">, I </w:t>
      </w:r>
      <w:r w:rsidR="00E52FE9">
        <w:rPr>
          <w:rFonts w:ascii="Arial" w:hAnsi="Arial" w:cs="Arial"/>
          <w:color w:val="auto"/>
          <w:sz w:val="22"/>
          <w:szCs w:val="22"/>
        </w:rPr>
        <w:t>accept</w:t>
      </w:r>
      <w:r w:rsidR="00A44DE0">
        <w:rPr>
          <w:rFonts w:ascii="Arial" w:hAnsi="Arial" w:cs="Arial"/>
          <w:color w:val="auto"/>
          <w:sz w:val="22"/>
          <w:szCs w:val="22"/>
        </w:rPr>
        <w:t xml:space="preserve"> that t</w:t>
      </w:r>
      <w:r w:rsidR="00706728" w:rsidRPr="00A4399B">
        <w:rPr>
          <w:rFonts w:ascii="Arial" w:hAnsi="Arial" w:cs="Arial"/>
          <w:color w:val="auto"/>
          <w:sz w:val="22"/>
          <w:szCs w:val="22"/>
        </w:rPr>
        <w:t xml:space="preserve">here is a public interest in </w:t>
      </w:r>
      <w:r w:rsidR="00252D46">
        <w:rPr>
          <w:rFonts w:ascii="Arial" w:hAnsi="Arial" w:cs="Arial"/>
          <w:color w:val="auto"/>
          <w:sz w:val="22"/>
          <w:szCs w:val="22"/>
        </w:rPr>
        <w:t>allowing the respondent to participate fully in these proceedings</w:t>
      </w:r>
      <w:r w:rsidR="00F64D79">
        <w:rPr>
          <w:rFonts w:ascii="Arial" w:hAnsi="Arial" w:cs="Arial"/>
          <w:color w:val="auto"/>
          <w:sz w:val="22"/>
          <w:szCs w:val="22"/>
        </w:rPr>
        <w:t>.</w:t>
      </w:r>
    </w:p>
    <w:p w14:paraId="064A9F51" w14:textId="23DE230B" w:rsidR="000F6B51" w:rsidRDefault="000F6B51" w:rsidP="00226D2B">
      <w:pPr>
        <w:tabs>
          <w:tab w:val="num" w:pos="567"/>
        </w:tabs>
        <w:jc w:val="both"/>
        <w:rPr>
          <w:rFonts w:ascii="Arial" w:hAnsi="Arial" w:cs="Arial"/>
          <w:sz w:val="22"/>
          <w:szCs w:val="22"/>
        </w:rPr>
      </w:pPr>
    </w:p>
    <w:p w14:paraId="1BF33544" w14:textId="77777777" w:rsidR="0086252C" w:rsidRPr="00A4399B" w:rsidRDefault="0086252C" w:rsidP="00226D2B">
      <w:pPr>
        <w:tabs>
          <w:tab w:val="num" w:pos="567"/>
        </w:tabs>
        <w:jc w:val="both"/>
        <w:rPr>
          <w:rFonts w:ascii="Arial" w:hAnsi="Arial" w:cs="Arial"/>
          <w:sz w:val="22"/>
          <w:szCs w:val="22"/>
        </w:rPr>
      </w:pPr>
    </w:p>
    <w:p w14:paraId="70B9EC44" w14:textId="301C0238" w:rsidR="00226D2B" w:rsidRPr="00A4399B" w:rsidRDefault="00226D2B" w:rsidP="00226D2B">
      <w:pPr>
        <w:jc w:val="both"/>
        <w:rPr>
          <w:rFonts w:ascii="Arial Black" w:hAnsi="Arial Black" w:cs="Arial"/>
          <w:b/>
          <w:smallCaps/>
          <w:sz w:val="22"/>
          <w:szCs w:val="22"/>
        </w:rPr>
      </w:pPr>
      <w:r w:rsidRPr="00A4399B">
        <w:rPr>
          <w:rFonts w:ascii="Arial Black" w:hAnsi="Arial Black" w:cs="Arial"/>
          <w:b/>
          <w:smallCaps/>
          <w:sz w:val="22"/>
          <w:szCs w:val="22"/>
        </w:rPr>
        <w:t xml:space="preserve">Findings of fact </w:t>
      </w:r>
    </w:p>
    <w:p w14:paraId="6B7E7E8E" w14:textId="6EC9F62F" w:rsidR="009700A6" w:rsidRPr="00A4399B" w:rsidRDefault="009700A6" w:rsidP="00226D2B">
      <w:pPr>
        <w:jc w:val="both"/>
        <w:rPr>
          <w:rFonts w:ascii="Arial" w:hAnsi="Arial" w:cs="Arial"/>
          <w:b/>
          <w:sz w:val="22"/>
          <w:szCs w:val="22"/>
        </w:rPr>
      </w:pPr>
    </w:p>
    <w:p w14:paraId="3A5D2FC6" w14:textId="25426364" w:rsidR="00226D2B" w:rsidRPr="00A4399B" w:rsidRDefault="00271CFD" w:rsidP="00271CFD">
      <w:pPr>
        <w:tabs>
          <w:tab w:val="left" w:pos="567"/>
        </w:tabs>
        <w:jc w:val="both"/>
        <w:rPr>
          <w:rFonts w:ascii="Arial" w:hAnsi="Arial" w:cs="Arial"/>
          <w:sz w:val="22"/>
          <w:szCs w:val="22"/>
        </w:rPr>
      </w:pPr>
      <w:r>
        <w:rPr>
          <w:rFonts w:ascii="Arial" w:hAnsi="Arial" w:cs="Arial"/>
          <w:sz w:val="22"/>
          <w:szCs w:val="22"/>
        </w:rPr>
        <w:t>73</w:t>
      </w:r>
      <w:r w:rsidR="00774813" w:rsidRPr="00A4399B">
        <w:rPr>
          <w:rFonts w:ascii="Arial" w:hAnsi="Arial" w:cs="Arial"/>
          <w:sz w:val="22"/>
          <w:szCs w:val="22"/>
        </w:rPr>
        <w:t>.</w:t>
      </w:r>
      <w:r w:rsidR="00774813" w:rsidRPr="00A4399B">
        <w:rPr>
          <w:rFonts w:ascii="Arial" w:hAnsi="Arial" w:cs="Arial"/>
          <w:sz w:val="22"/>
          <w:szCs w:val="22"/>
        </w:rPr>
        <w:tab/>
      </w:r>
      <w:r w:rsidR="00226D2B" w:rsidRPr="00A4399B">
        <w:rPr>
          <w:rFonts w:ascii="Arial" w:hAnsi="Arial" w:cs="Arial"/>
          <w:sz w:val="22"/>
          <w:szCs w:val="22"/>
        </w:rPr>
        <w:t>I make the following findings of fact:</w:t>
      </w:r>
    </w:p>
    <w:p w14:paraId="6EDFDDBD" w14:textId="77777777" w:rsidR="00226D2B" w:rsidRPr="00A4399B" w:rsidRDefault="00226D2B" w:rsidP="00226D2B">
      <w:pPr>
        <w:ind w:left="709" w:right="283" w:hanging="425"/>
        <w:jc w:val="both"/>
        <w:rPr>
          <w:rFonts w:ascii="Arial" w:hAnsi="Arial" w:cs="Arial"/>
          <w:b/>
          <w:sz w:val="22"/>
          <w:szCs w:val="22"/>
        </w:rPr>
      </w:pPr>
    </w:p>
    <w:p w14:paraId="5837DA62" w14:textId="59E1106E" w:rsidR="007C2C92" w:rsidRPr="00A4399B" w:rsidRDefault="00EB70C7" w:rsidP="00271CFD">
      <w:pPr>
        <w:tabs>
          <w:tab w:val="left" w:pos="1134"/>
          <w:tab w:val="left" w:pos="1701"/>
        </w:tabs>
        <w:autoSpaceDE w:val="0"/>
        <w:autoSpaceDN w:val="0"/>
        <w:adjustRightInd w:val="0"/>
        <w:ind w:left="719" w:right="425"/>
        <w:jc w:val="both"/>
        <w:rPr>
          <w:rFonts w:ascii="Arial" w:hAnsi="Arial" w:cs="Arial"/>
          <w:sz w:val="22"/>
          <w:szCs w:val="22"/>
        </w:rPr>
      </w:pPr>
      <w:r w:rsidRPr="00A4399B">
        <w:rPr>
          <w:rFonts w:ascii="Arial" w:hAnsi="Arial" w:cs="Arial"/>
          <w:sz w:val="22"/>
          <w:szCs w:val="22"/>
        </w:rPr>
        <w:t>a)</w:t>
      </w:r>
      <w:r w:rsidR="00271CFD">
        <w:rPr>
          <w:rFonts w:ascii="Arial" w:hAnsi="Arial" w:cs="Arial"/>
          <w:sz w:val="22"/>
          <w:szCs w:val="22"/>
        </w:rPr>
        <w:tab/>
      </w:r>
      <w:r w:rsidR="008010B3" w:rsidRPr="00A4399B">
        <w:rPr>
          <w:rFonts w:ascii="Arial" w:hAnsi="Arial" w:cs="Arial"/>
          <w:sz w:val="22"/>
          <w:szCs w:val="22"/>
        </w:rPr>
        <w:t xml:space="preserve">the appellant </w:t>
      </w:r>
      <w:r w:rsidR="007C2C92" w:rsidRPr="00A4399B">
        <w:rPr>
          <w:rFonts w:ascii="Arial" w:hAnsi="Arial" w:cs="Arial"/>
          <w:sz w:val="22"/>
          <w:szCs w:val="22"/>
        </w:rPr>
        <w:t xml:space="preserve">is destitute; </w:t>
      </w:r>
    </w:p>
    <w:p w14:paraId="32E78A00" w14:textId="32721B9D" w:rsidR="00860ED9" w:rsidRPr="00A4399B" w:rsidRDefault="007C2C92" w:rsidP="00271CFD">
      <w:pPr>
        <w:tabs>
          <w:tab w:val="left" w:pos="1134"/>
        </w:tabs>
        <w:autoSpaceDE w:val="0"/>
        <w:autoSpaceDN w:val="0"/>
        <w:adjustRightInd w:val="0"/>
        <w:ind w:left="719" w:right="425"/>
        <w:jc w:val="both"/>
        <w:rPr>
          <w:rFonts w:ascii="Arial" w:hAnsi="Arial" w:cs="Arial"/>
          <w:sz w:val="22"/>
          <w:szCs w:val="22"/>
        </w:rPr>
      </w:pPr>
      <w:r w:rsidRPr="00A4399B">
        <w:rPr>
          <w:rFonts w:ascii="Arial" w:hAnsi="Arial" w:cs="Arial"/>
          <w:sz w:val="22"/>
          <w:szCs w:val="22"/>
        </w:rPr>
        <w:t xml:space="preserve">b) </w:t>
      </w:r>
      <w:r w:rsidR="00271CFD">
        <w:rPr>
          <w:rFonts w:ascii="Arial" w:hAnsi="Arial" w:cs="Arial"/>
          <w:sz w:val="22"/>
          <w:szCs w:val="22"/>
        </w:rPr>
        <w:tab/>
        <w:t xml:space="preserve"> he</w:t>
      </w:r>
      <w:r w:rsidR="00EB70C7" w:rsidRPr="00A4399B">
        <w:rPr>
          <w:rFonts w:ascii="Arial" w:hAnsi="Arial" w:cs="Arial"/>
          <w:sz w:val="22"/>
          <w:szCs w:val="22"/>
        </w:rPr>
        <w:t xml:space="preserve"> is temporarily accommodated by his </w:t>
      </w:r>
      <w:r w:rsidR="00345C46" w:rsidRPr="00A4399B">
        <w:rPr>
          <w:rFonts w:ascii="Arial" w:hAnsi="Arial" w:cs="Arial"/>
          <w:sz w:val="22"/>
          <w:szCs w:val="22"/>
        </w:rPr>
        <w:t>L</w:t>
      </w:r>
      <w:r w:rsidR="00EB70C7" w:rsidRPr="00A4399B">
        <w:rPr>
          <w:rFonts w:ascii="Arial" w:hAnsi="Arial" w:cs="Arial"/>
          <w:sz w:val="22"/>
          <w:szCs w:val="22"/>
        </w:rPr>
        <w:t>ocal Authority</w:t>
      </w:r>
      <w:r w:rsidR="00A627C4" w:rsidRPr="00A4399B">
        <w:rPr>
          <w:rFonts w:ascii="Arial" w:hAnsi="Arial" w:cs="Arial"/>
          <w:sz w:val="22"/>
          <w:szCs w:val="22"/>
        </w:rPr>
        <w:t>;</w:t>
      </w:r>
    </w:p>
    <w:p w14:paraId="25B4471D" w14:textId="317387E5" w:rsidR="006F11E3" w:rsidRPr="00A4399B" w:rsidRDefault="00345C46" w:rsidP="00271CFD">
      <w:pPr>
        <w:autoSpaceDE w:val="0"/>
        <w:autoSpaceDN w:val="0"/>
        <w:adjustRightInd w:val="0"/>
        <w:ind w:left="1144" w:right="425" w:hanging="435"/>
        <w:jc w:val="both"/>
        <w:rPr>
          <w:rFonts w:ascii="Arial" w:hAnsi="Arial" w:cs="Arial"/>
          <w:sz w:val="22"/>
          <w:szCs w:val="22"/>
        </w:rPr>
      </w:pPr>
      <w:r w:rsidRPr="00A4399B">
        <w:rPr>
          <w:rFonts w:ascii="Arial" w:hAnsi="Arial" w:cs="Arial"/>
          <w:sz w:val="22"/>
          <w:szCs w:val="22"/>
        </w:rPr>
        <w:t>c)</w:t>
      </w:r>
      <w:r w:rsidRPr="00A4399B">
        <w:rPr>
          <w:rFonts w:ascii="Arial" w:hAnsi="Arial" w:cs="Arial"/>
          <w:sz w:val="22"/>
          <w:szCs w:val="22"/>
        </w:rPr>
        <w:tab/>
      </w:r>
      <w:r w:rsidR="00860ED9" w:rsidRPr="00A4399B">
        <w:rPr>
          <w:rFonts w:ascii="Arial" w:hAnsi="Arial" w:cs="Arial"/>
          <w:sz w:val="22"/>
          <w:szCs w:val="22"/>
        </w:rPr>
        <w:t xml:space="preserve">I have not </w:t>
      </w:r>
      <w:r w:rsidR="00FB43F6" w:rsidRPr="00A4399B">
        <w:rPr>
          <w:rFonts w:ascii="Arial" w:hAnsi="Arial" w:cs="Arial"/>
          <w:sz w:val="22"/>
          <w:szCs w:val="22"/>
        </w:rPr>
        <w:t>seen</w:t>
      </w:r>
      <w:r w:rsidR="00860ED9" w:rsidRPr="00A4399B">
        <w:rPr>
          <w:rFonts w:ascii="Arial" w:hAnsi="Arial" w:cs="Arial"/>
          <w:sz w:val="22"/>
          <w:szCs w:val="22"/>
        </w:rPr>
        <w:t xml:space="preserve"> a</w:t>
      </w:r>
      <w:r w:rsidR="00A627C4" w:rsidRPr="00A4399B">
        <w:rPr>
          <w:rFonts w:ascii="Arial" w:hAnsi="Arial" w:cs="Arial"/>
          <w:sz w:val="22"/>
          <w:szCs w:val="22"/>
        </w:rPr>
        <w:t xml:space="preserve"> </w:t>
      </w:r>
      <w:r w:rsidR="00860ED9" w:rsidRPr="00A4399B">
        <w:rPr>
          <w:rFonts w:ascii="Arial" w:hAnsi="Arial" w:cs="Arial"/>
          <w:sz w:val="22"/>
          <w:szCs w:val="22"/>
        </w:rPr>
        <w:t>Pre-Action Protocol letter</w:t>
      </w:r>
      <w:r w:rsidR="006F11E3" w:rsidRPr="00A4399B">
        <w:rPr>
          <w:rFonts w:ascii="Arial" w:hAnsi="Arial" w:cs="Arial"/>
          <w:sz w:val="22"/>
          <w:szCs w:val="22"/>
        </w:rPr>
        <w:t xml:space="preserve"> </w:t>
      </w:r>
      <w:r w:rsidR="00FB43F6" w:rsidRPr="00A4399B">
        <w:rPr>
          <w:rFonts w:ascii="Arial" w:hAnsi="Arial" w:cs="Arial"/>
          <w:sz w:val="22"/>
          <w:szCs w:val="22"/>
        </w:rPr>
        <w:t xml:space="preserve">issued </w:t>
      </w:r>
      <w:r w:rsidR="006C5A47" w:rsidRPr="00A4399B">
        <w:rPr>
          <w:rFonts w:ascii="Arial" w:hAnsi="Arial" w:cs="Arial"/>
          <w:sz w:val="22"/>
          <w:szCs w:val="22"/>
        </w:rPr>
        <w:t xml:space="preserve">by </w:t>
      </w:r>
      <w:r w:rsidR="006F11E3" w:rsidRPr="00A4399B">
        <w:rPr>
          <w:rFonts w:ascii="Arial" w:hAnsi="Arial" w:cs="Arial"/>
          <w:sz w:val="22"/>
          <w:szCs w:val="22"/>
        </w:rPr>
        <w:t>his previous solicitors;</w:t>
      </w:r>
    </w:p>
    <w:p w14:paraId="318F100C" w14:textId="77777777" w:rsidR="005A6AA2" w:rsidRPr="00A4399B" w:rsidRDefault="004030AA" w:rsidP="00271CFD">
      <w:pPr>
        <w:tabs>
          <w:tab w:val="num" w:pos="720"/>
          <w:tab w:val="left" w:pos="1134"/>
          <w:tab w:val="left" w:pos="7938"/>
        </w:tabs>
        <w:ind w:left="1134" w:hanging="425"/>
        <w:jc w:val="both"/>
        <w:rPr>
          <w:rFonts w:ascii="Arial" w:hAnsi="Arial" w:cs="Arial"/>
          <w:sz w:val="22"/>
          <w:szCs w:val="22"/>
        </w:rPr>
      </w:pPr>
      <w:r w:rsidRPr="00A4399B">
        <w:rPr>
          <w:rFonts w:ascii="Arial" w:hAnsi="Arial" w:cs="Arial"/>
          <w:sz w:val="22"/>
          <w:szCs w:val="22"/>
        </w:rPr>
        <w:t>d</w:t>
      </w:r>
      <w:r w:rsidR="006F11E3" w:rsidRPr="00A4399B">
        <w:rPr>
          <w:rFonts w:ascii="Arial" w:hAnsi="Arial" w:cs="Arial"/>
          <w:sz w:val="22"/>
          <w:szCs w:val="22"/>
        </w:rPr>
        <w:t>)</w:t>
      </w:r>
      <w:r w:rsidR="006F11E3" w:rsidRPr="00A4399B">
        <w:rPr>
          <w:rFonts w:ascii="Arial" w:hAnsi="Arial" w:cs="Arial"/>
          <w:sz w:val="22"/>
          <w:szCs w:val="22"/>
        </w:rPr>
        <w:tab/>
      </w:r>
      <w:r w:rsidRPr="00A4399B">
        <w:rPr>
          <w:rFonts w:ascii="Arial" w:hAnsi="Arial" w:cs="Arial"/>
          <w:sz w:val="22"/>
          <w:szCs w:val="22"/>
        </w:rPr>
        <w:t>his asylum claim has been rejected</w:t>
      </w:r>
      <w:r w:rsidR="005A6AA2" w:rsidRPr="00A4399B">
        <w:rPr>
          <w:rFonts w:ascii="Arial" w:hAnsi="Arial" w:cs="Arial"/>
          <w:sz w:val="22"/>
          <w:szCs w:val="22"/>
        </w:rPr>
        <w:t>;</w:t>
      </w:r>
    </w:p>
    <w:p w14:paraId="35D03670" w14:textId="1A6A7B4A" w:rsidR="005658E1" w:rsidRPr="00A4399B" w:rsidRDefault="005A6AA2" w:rsidP="00271CFD">
      <w:pPr>
        <w:tabs>
          <w:tab w:val="num" w:pos="720"/>
          <w:tab w:val="left" w:pos="1134"/>
          <w:tab w:val="left" w:pos="7938"/>
        </w:tabs>
        <w:ind w:left="1134" w:hanging="425"/>
        <w:jc w:val="both"/>
        <w:rPr>
          <w:rFonts w:ascii="Arial" w:hAnsi="Arial" w:cs="Arial"/>
          <w:sz w:val="22"/>
          <w:szCs w:val="22"/>
        </w:rPr>
      </w:pPr>
      <w:r w:rsidRPr="00A4399B">
        <w:rPr>
          <w:rFonts w:ascii="Arial" w:hAnsi="Arial" w:cs="Arial"/>
          <w:sz w:val="22"/>
          <w:szCs w:val="22"/>
        </w:rPr>
        <w:t>e)</w:t>
      </w:r>
      <w:r w:rsidRPr="00A4399B">
        <w:rPr>
          <w:rFonts w:ascii="Arial" w:hAnsi="Arial" w:cs="Arial"/>
          <w:sz w:val="22"/>
          <w:szCs w:val="22"/>
        </w:rPr>
        <w:tab/>
      </w:r>
      <w:r w:rsidR="006A5564">
        <w:rPr>
          <w:rFonts w:ascii="Arial" w:hAnsi="Arial" w:cs="Arial"/>
          <w:sz w:val="22"/>
          <w:szCs w:val="22"/>
        </w:rPr>
        <w:t>h</w:t>
      </w:r>
      <w:r w:rsidRPr="00A4399B">
        <w:rPr>
          <w:rFonts w:ascii="Arial" w:hAnsi="Arial" w:cs="Arial"/>
          <w:sz w:val="22"/>
          <w:szCs w:val="22"/>
        </w:rPr>
        <w:t>e is appeal rights exhausted</w:t>
      </w:r>
      <w:r w:rsidR="00007BC0" w:rsidRPr="00A4399B">
        <w:rPr>
          <w:rFonts w:ascii="Arial" w:hAnsi="Arial" w:cs="Arial"/>
          <w:sz w:val="22"/>
          <w:szCs w:val="22"/>
        </w:rPr>
        <w:t>;</w:t>
      </w:r>
    </w:p>
    <w:p w14:paraId="6B6842AF" w14:textId="0D965161" w:rsidR="004B0857" w:rsidRPr="00A4399B" w:rsidRDefault="005658E1" w:rsidP="00271CFD">
      <w:pPr>
        <w:tabs>
          <w:tab w:val="num" w:pos="720"/>
          <w:tab w:val="left" w:pos="1134"/>
          <w:tab w:val="left" w:pos="7938"/>
        </w:tabs>
        <w:ind w:left="1134" w:hanging="425"/>
        <w:jc w:val="both"/>
        <w:rPr>
          <w:rFonts w:ascii="Arial" w:hAnsi="Arial" w:cs="Arial"/>
          <w:sz w:val="22"/>
          <w:szCs w:val="22"/>
        </w:rPr>
      </w:pPr>
      <w:r w:rsidRPr="00A4399B">
        <w:rPr>
          <w:rFonts w:ascii="Arial" w:hAnsi="Arial" w:cs="Arial"/>
          <w:sz w:val="22"/>
          <w:szCs w:val="22"/>
        </w:rPr>
        <w:t>f)</w:t>
      </w:r>
      <w:r w:rsidRPr="00A4399B">
        <w:rPr>
          <w:rFonts w:ascii="Arial" w:hAnsi="Arial" w:cs="Arial"/>
          <w:sz w:val="22"/>
          <w:szCs w:val="22"/>
        </w:rPr>
        <w:tab/>
      </w:r>
      <w:r w:rsidR="006A5564">
        <w:rPr>
          <w:rFonts w:ascii="Arial" w:hAnsi="Arial" w:cs="Arial"/>
          <w:sz w:val="22"/>
          <w:szCs w:val="22"/>
        </w:rPr>
        <w:t>t</w:t>
      </w:r>
      <w:r w:rsidR="004B0857" w:rsidRPr="00A4399B">
        <w:rPr>
          <w:rFonts w:ascii="Arial" w:hAnsi="Arial" w:cs="Arial"/>
          <w:sz w:val="22"/>
          <w:szCs w:val="22"/>
        </w:rPr>
        <w:t>here are currently flights to Afghanistan</w:t>
      </w:r>
      <w:r w:rsidR="0086252C">
        <w:rPr>
          <w:rFonts w:ascii="Arial" w:hAnsi="Arial" w:cs="Arial"/>
          <w:sz w:val="22"/>
          <w:szCs w:val="22"/>
        </w:rPr>
        <w:t>, but the appellant has not returned</w:t>
      </w:r>
      <w:r w:rsidR="004B0857" w:rsidRPr="00A4399B">
        <w:rPr>
          <w:rFonts w:ascii="Arial" w:hAnsi="Arial" w:cs="Arial"/>
          <w:sz w:val="22"/>
          <w:szCs w:val="22"/>
        </w:rPr>
        <w:t xml:space="preserve">; </w:t>
      </w:r>
    </w:p>
    <w:p w14:paraId="324CD5FE" w14:textId="6E1A9A17" w:rsidR="00B669CD" w:rsidRDefault="00A328BF" w:rsidP="00271CFD">
      <w:pPr>
        <w:tabs>
          <w:tab w:val="num" w:pos="720"/>
          <w:tab w:val="left" w:pos="1134"/>
          <w:tab w:val="left" w:pos="7938"/>
        </w:tabs>
        <w:ind w:left="1134" w:hanging="425"/>
        <w:jc w:val="both"/>
        <w:rPr>
          <w:rFonts w:ascii="Arial" w:hAnsi="Arial" w:cs="Arial"/>
          <w:sz w:val="22"/>
          <w:szCs w:val="22"/>
        </w:rPr>
      </w:pPr>
      <w:r w:rsidRPr="00A4399B">
        <w:rPr>
          <w:rFonts w:ascii="Arial" w:hAnsi="Arial" w:cs="Arial"/>
          <w:sz w:val="22"/>
          <w:szCs w:val="22"/>
        </w:rPr>
        <w:t>g</w:t>
      </w:r>
      <w:r w:rsidR="00046A1E" w:rsidRPr="00A4399B">
        <w:rPr>
          <w:rFonts w:ascii="Arial" w:hAnsi="Arial" w:cs="Arial"/>
          <w:sz w:val="22"/>
          <w:szCs w:val="22"/>
        </w:rPr>
        <w:t>)</w:t>
      </w:r>
      <w:r w:rsidR="00046A1E" w:rsidRPr="00A4399B">
        <w:rPr>
          <w:rFonts w:ascii="Arial" w:hAnsi="Arial" w:cs="Arial"/>
          <w:sz w:val="22"/>
          <w:szCs w:val="22"/>
        </w:rPr>
        <w:tab/>
      </w:r>
      <w:r w:rsidR="006A5564">
        <w:rPr>
          <w:rFonts w:ascii="Arial" w:hAnsi="Arial" w:cs="Arial"/>
          <w:sz w:val="22"/>
          <w:szCs w:val="22"/>
        </w:rPr>
        <w:t>the SSHD could also choose to remove him</w:t>
      </w:r>
      <w:r w:rsidR="0086252C">
        <w:rPr>
          <w:rFonts w:ascii="Arial" w:hAnsi="Arial" w:cs="Arial"/>
          <w:sz w:val="22"/>
          <w:szCs w:val="22"/>
        </w:rPr>
        <w:t xml:space="preserve"> but has not done so</w:t>
      </w:r>
      <w:r w:rsidR="002D6A52">
        <w:rPr>
          <w:rFonts w:ascii="Arial" w:hAnsi="Arial" w:cs="Arial"/>
          <w:sz w:val="22"/>
          <w:szCs w:val="22"/>
        </w:rPr>
        <w:t>;</w:t>
      </w:r>
    </w:p>
    <w:p w14:paraId="502176AF" w14:textId="5ABCB4CD" w:rsidR="00A328BF" w:rsidRPr="00A4399B" w:rsidRDefault="002D6A52" w:rsidP="00271CFD">
      <w:pPr>
        <w:tabs>
          <w:tab w:val="num" w:pos="720"/>
          <w:tab w:val="left" w:pos="1134"/>
          <w:tab w:val="left" w:pos="7938"/>
        </w:tabs>
        <w:ind w:left="1134" w:hanging="425"/>
        <w:jc w:val="both"/>
        <w:rPr>
          <w:rFonts w:ascii="Arial" w:hAnsi="Arial" w:cs="Arial"/>
          <w:sz w:val="22"/>
          <w:szCs w:val="22"/>
        </w:rPr>
      </w:pPr>
      <w:r>
        <w:rPr>
          <w:rFonts w:ascii="Arial" w:hAnsi="Arial" w:cs="Arial"/>
          <w:sz w:val="22"/>
          <w:szCs w:val="22"/>
        </w:rPr>
        <w:t>h)</w:t>
      </w:r>
      <w:r>
        <w:rPr>
          <w:rFonts w:ascii="Arial" w:hAnsi="Arial" w:cs="Arial"/>
          <w:sz w:val="22"/>
          <w:szCs w:val="22"/>
        </w:rPr>
        <w:tab/>
      </w:r>
      <w:r w:rsidR="0086252C">
        <w:rPr>
          <w:rFonts w:ascii="Arial" w:hAnsi="Arial" w:cs="Arial"/>
          <w:sz w:val="22"/>
          <w:szCs w:val="22"/>
        </w:rPr>
        <w:t>t</w:t>
      </w:r>
      <w:r w:rsidR="009C5E80" w:rsidRPr="00A4399B">
        <w:rPr>
          <w:rFonts w:ascii="Arial" w:hAnsi="Arial" w:cs="Arial"/>
          <w:sz w:val="22"/>
          <w:szCs w:val="22"/>
        </w:rPr>
        <w:t xml:space="preserve">he appellant has filed further submissions with the FSU. These </w:t>
      </w:r>
      <w:r>
        <w:rPr>
          <w:rFonts w:ascii="Arial" w:hAnsi="Arial" w:cs="Arial"/>
          <w:sz w:val="22"/>
          <w:szCs w:val="22"/>
        </w:rPr>
        <w:t>remain outstanding</w:t>
      </w:r>
      <w:r w:rsidR="003451F7">
        <w:rPr>
          <w:rFonts w:ascii="Arial" w:hAnsi="Arial" w:cs="Arial"/>
          <w:sz w:val="22"/>
          <w:szCs w:val="22"/>
        </w:rPr>
        <w:t>;</w:t>
      </w:r>
      <w:r w:rsidR="009C5E80" w:rsidRPr="00A4399B">
        <w:rPr>
          <w:rFonts w:ascii="Arial" w:hAnsi="Arial" w:cs="Arial"/>
          <w:sz w:val="22"/>
          <w:szCs w:val="22"/>
        </w:rPr>
        <w:t xml:space="preserve"> </w:t>
      </w:r>
    </w:p>
    <w:p w14:paraId="7B671331" w14:textId="32E333AF" w:rsidR="009C5E80" w:rsidRDefault="00F511F2" w:rsidP="00271CFD">
      <w:pPr>
        <w:tabs>
          <w:tab w:val="num" w:pos="720"/>
          <w:tab w:val="left" w:pos="1134"/>
          <w:tab w:val="left" w:pos="7938"/>
        </w:tabs>
        <w:ind w:left="1134" w:hanging="425"/>
        <w:jc w:val="both"/>
        <w:rPr>
          <w:rFonts w:ascii="Arial" w:hAnsi="Arial" w:cs="Arial"/>
          <w:sz w:val="22"/>
          <w:szCs w:val="22"/>
        </w:rPr>
      </w:pPr>
      <w:r>
        <w:rPr>
          <w:rFonts w:ascii="Arial" w:hAnsi="Arial" w:cs="Arial"/>
          <w:sz w:val="22"/>
          <w:szCs w:val="22"/>
        </w:rPr>
        <w:t>i</w:t>
      </w:r>
      <w:r w:rsidR="00A328BF" w:rsidRPr="00A4399B">
        <w:rPr>
          <w:rFonts w:ascii="Arial" w:hAnsi="Arial" w:cs="Arial"/>
          <w:sz w:val="22"/>
          <w:szCs w:val="22"/>
        </w:rPr>
        <w:t>)</w:t>
      </w:r>
      <w:r w:rsidR="00A328BF" w:rsidRPr="00A4399B">
        <w:rPr>
          <w:rFonts w:ascii="Arial" w:hAnsi="Arial" w:cs="Arial"/>
          <w:sz w:val="22"/>
          <w:szCs w:val="22"/>
        </w:rPr>
        <w:tab/>
      </w:r>
      <w:r w:rsidR="003451F7">
        <w:rPr>
          <w:rFonts w:ascii="Arial" w:hAnsi="Arial" w:cs="Arial"/>
          <w:sz w:val="22"/>
          <w:szCs w:val="22"/>
        </w:rPr>
        <w:t>t</w:t>
      </w:r>
      <w:r w:rsidR="009C5E80" w:rsidRPr="00A4399B">
        <w:rPr>
          <w:rFonts w:ascii="Arial" w:hAnsi="Arial" w:cs="Arial"/>
          <w:sz w:val="22"/>
          <w:szCs w:val="22"/>
        </w:rPr>
        <w:t>here is insufficient evidence before me to decide whether the claim is obviously hopeless or abusive</w:t>
      </w:r>
      <w:r w:rsidR="007077C7">
        <w:rPr>
          <w:rFonts w:ascii="Arial" w:hAnsi="Arial" w:cs="Arial"/>
          <w:sz w:val="22"/>
          <w:szCs w:val="22"/>
        </w:rPr>
        <w:t>.</w:t>
      </w:r>
      <w:r w:rsidR="009C5E80" w:rsidRPr="00A4399B">
        <w:rPr>
          <w:rFonts w:ascii="Arial" w:hAnsi="Arial" w:cs="Arial"/>
          <w:sz w:val="22"/>
          <w:szCs w:val="22"/>
        </w:rPr>
        <w:t xml:space="preserve"> </w:t>
      </w:r>
    </w:p>
    <w:p w14:paraId="6BA3C40D" w14:textId="14711004" w:rsidR="0048785F" w:rsidRDefault="0048785F" w:rsidP="006B0FE9">
      <w:pPr>
        <w:tabs>
          <w:tab w:val="num" w:pos="720"/>
          <w:tab w:val="left" w:pos="1134"/>
          <w:tab w:val="left" w:pos="7938"/>
        </w:tabs>
        <w:jc w:val="both"/>
        <w:rPr>
          <w:rFonts w:ascii="Arial" w:hAnsi="Arial" w:cs="Arial"/>
          <w:sz w:val="22"/>
          <w:szCs w:val="22"/>
        </w:rPr>
      </w:pPr>
    </w:p>
    <w:p w14:paraId="50802060" w14:textId="77777777" w:rsidR="0086252C" w:rsidRPr="00A4399B" w:rsidRDefault="0086252C" w:rsidP="006B0FE9">
      <w:pPr>
        <w:tabs>
          <w:tab w:val="num" w:pos="720"/>
          <w:tab w:val="left" w:pos="1134"/>
          <w:tab w:val="left" w:pos="7938"/>
        </w:tabs>
        <w:jc w:val="both"/>
        <w:rPr>
          <w:rFonts w:ascii="Arial" w:hAnsi="Arial" w:cs="Arial"/>
          <w:sz w:val="22"/>
          <w:szCs w:val="22"/>
        </w:rPr>
      </w:pPr>
    </w:p>
    <w:p w14:paraId="51A6667A" w14:textId="65C3290E" w:rsidR="00226D2B" w:rsidRPr="00A4399B" w:rsidRDefault="00226D2B" w:rsidP="00226D2B">
      <w:pPr>
        <w:jc w:val="both"/>
        <w:rPr>
          <w:rFonts w:ascii="Arial Black" w:hAnsi="Arial Black" w:cs="Arial"/>
          <w:b/>
          <w:smallCaps/>
          <w:sz w:val="22"/>
          <w:szCs w:val="22"/>
        </w:rPr>
      </w:pPr>
      <w:r w:rsidRPr="00A4399B">
        <w:rPr>
          <w:rFonts w:ascii="Arial Black" w:hAnsi="Arial Black" w:cs="Arial"/>
          <w:b/>
          <w:smallCaps/>
          <w:sz w:val="22"/>
          <w:szCs w:val="22"/>
        </w:rPr>
        <w:t>My Decision</w:t>
      </w:r>
    </w:p>
    <w:p w14:paraId="77B6425D" w14:textId="77777777" w:rsidR="00226D2B" w:rsidRPr="00A4399B" w:rsidRDefault="00226D2B" w:rsidP="00226D2B">
      <w:pPr>
        <w:ind w:right="-425"/>
        <w:jc w:val="both"/>
        <w:rPr>
          <w:rFonts w:ascii="Arial" w:hAnsi="Arial" w:cs="Arial"/>
          <w:b/>
          <w:sz w:val="22"/>
          <w:szCs w:val="22"/>
        </w:rPr>
      </w:pPr>
    </w:p>
    <w:p w14:paraId="32C7C3FE" w14:textId="38393D98" w:rsidR="00306A45" w:rsidRDefault="002848B5" w:rsidP="002848B5">
      <w:pPr>
        <w:tabs>
          <w:tab w:val="num" w:pos="0"/>
          <w:tab w:val="left" w:pos="567"/>
        </w:tabs>
        <w:jc w:val="both"/>
        <w:rPr>
          <w:rFonts w:ascii="Arial" w:hAnsi="Arial" w:cs="Arial"/>
          <w:sz w:val="22"/>
          <w:szCs w:val="22"/>
        </w:rPr>
      </w:pPr>
      <w:r>
        <w:rPr>
          <w:rFonts w:ascii="Arial" w:hAnsi="Arial" w:cs="Arial"/>
          <w:sz w:val="22"/>
          <w:szCs w:val="22"/>
        </w:rPr>
        <w:t>74</w:t>
      </w:r>
      <w:r w:rsidR="00774813" w:rsidRPr="00A4399B">
        <w:rPr>
          <w:rFonts w:ascii="Arial" w:hAnsi="Arial" w:cs="Arial"/>
          <w:sz w:val="22"/>
          <w:szCs w:val="22"/>
        </w:rPr>
        <w:t>.</w:t>
      </w:r>
      <w:r w:rsidR="00774813" w:rsidRPr="00A4399B">
        <w:rPr>
          <w:rFonts w:ascii="Arial" w:hAnsi="Arial" w:cs="Arial"/>
          <w:sz w:val="22"/>
          <w:szCs w:val="22"/>
        </w:rPr>
        <w:tab/>
      </w:r>
      <w:r w:rsidR="00AD2955">
        <w:rPr>
          <w:rFonts w:ascii="Arial" w:hAnsi="Arial" w:cs="Arial"/>
          <w:sz w:val="22"/>
          <w:szCs w:val="22"/>
        </w:rPr>
        <w:t>T</w:t>
      </w:r>
      <w:r w:rsidR="00AD2955" w:rsidRPr="00A4399B">
        <w:rPr>
          <w:rFonts w:ascii="Arial" w:hAnsi="Arial" w:cs="Arial"/>
          <w:sz w:val="22"/>
          <w:szCs w:val="22"/>
        </w:rPr>
        <w:t xml:space="preserve">he appellant </w:t>
      </w:r>
      <w:r w:rsidR="00232022">
        <w:rPr>
          <w:rFonts w:ascii="Arial" w:hAnsi="Arial" w:cs="Arial"/>
          <w:sz w:val="22"/>
          <w:szCs w:val="22"/>
        </w:rPr>
        <w:t xml:space="preserve">is </w:t>
      </w:r>
      <w:r w:rsidR="00AD2955" w:rsidRPr="00A4399B">
        <w:rPr>
          <w:rFonts w:ascii="Arial" w:hAnsi="Arial" w:cs="Arial"/>
          <w:sz w:val="22"/>
          <w:szCs w:val="22"/>
        </w:rPr>
        <w:t xml:space="preserve">entitled to </w:t>
      </w:r>
      <w:r w:rsidR="009930FD">
        <w:rPr>
          <w:rFonts w:ascii="Arial" w:hAnsi="Arial" w:cs="Arial"/>
          <w:sz w:val="22"/>
          <w:szCs w:val="22"/>
        </w:rPr>
        <w:t xml:space="preserve">accommodation under </w:t>
      </w:r>
      <w:r w:rsidR="00AD2955" w:rsidRPr="00A4399B">
        <w:rPr>
          <w:rFonts w:ascii="Arial" w:hAnsi="Arial" w:cs="Arial"/>
          <w:sz w:val="22"/>
          <w:szCs w:val="22"/>
        </w:rPr>
        <w:t>section 4(2)</w:t>
      </w:r>
      <w:r w:rsidR="00011F3D">
        <w:rPr>
          <w:rFonts w:ascii="Arial" w:hAnsi="Arial" w:cs="Arial"/>
          <w:sz w:val="22"/>
          <w:szCs w:val="22"/>
        </w:rPr>
        <w:t xml:space="preserve"> and regulation 3(2)(e) </w:t>
      </w:r>
      <w:r w:rsidR="00232022">
        <w:rPr>
          <w:rFonts w:ascii="Arial" w:hAnsi="Arial" w:cs="Arial"/>
          <w:sz w:val="22"/>
          <w:szCs w:val="22"/>
        </w:rPr>
        <w:t xml:space="preserve">because he is destitute and </w:t>
      </w:r>
      <w:r w:rsidR="00293FB6">
        <w:rPr>
          <w:rFonts w:ascii="Arial" w:hAnsi="Arial" w:cs="Arial"/>
          <w:sz w:val="22"/>
          <w:szCs w:val="22"/>
        </w:rPr>
        <w:t xml:space="preserve">the provision of accommodation is necessary for the purpose of avoiding a breach of </w:t>
      </w:r>
      <w:r w:rsidR="00FE2128">
        <w:rPr>
          <w:rFonts w:ascii="Arial" w:hAnsi="Arial" w:cs="Arial"/>
          <w:sz w:val="22"/>
          <w:szCs w:val="22"/>
        </w:rPr>
        <w:t>a person’s Convention rights, within the meaning of the Human Rights Act</w:t>
      </w:r>
      <w:r w:rsidR="00BB16A2">
        <w:rPr>
          <w:rFonts w:ascii="Arial" w:hAnsi="Arial" w:cs="Arial"/>
          <w:sz w:val="22"/>
          <w:szCs w:val="22"/>
        </w:rPr>
        <w:t>.</w:t>
      </w:r>
      <w:r w:rsidR="00911C49" w:rsidRPr="00A4399B">
        <w:rPr>
          <w:rFonts w:ascii="Arial" w:hAnsi="Arial" w:cs="Arial"/>
          <w:sz w:val="22"/>
          <w:szCs w:val="22"/>
        </w:rPr>
        <w:t xml:space="preserve"> </w:t>
      </w:r>
      <w:r w:rsidR="000135F6">
        <w:rPr>
          <w:rFonts w:ascii="Arial" w:hAnsi="Arial" w:cs="Arial"/>
          <w:sz w:val="22"/>
          <w:szCs w:val="22"/>
        </w:rPr>
        <w:t>I</w:t>
      </w:r>
      <w:r w:rsidR="00983DCE">
        <w:rPr>
          <w:rFonts w:ascii="Arial" w:hAnsi="Arial" w:cs="Arial"/>
          <w:sz w:val="22"/>
          <w:szCs w:val="22"/>
        </w:rPr>
        <w:t>n my judgment</w:t>
      </w:r>
      <w:r w:rsidR="00911C49" w:rsidRPr="00A4399B">
        <w:rPr>
          <w:rFonts w:ascii="Arial" w:hAnsi="Arial" w:cs="Arial"/>
          <w:sz w:val="22"/>
          <w:szCs w:val="22"/>
        </w:rPr>
        <w:t xml:space="preserve"> there is no objective justification for excluding failed asylum seekers who are not already accommodated from the category of the public. </w:t>
      </w:r>
      <w:r w:rsidR="002B03E7" w:rsidRPr="00A4399B">
        <w:rPr>
          <w:rFonts w:ascii="Arial" w:hAnsi="Arial" w:cs="Arial"/>
          <w:sz w:val="22"/>
          <w:szCs w:val="22"/>
        </w:rPr>
        <w:t>The appellant</w:t>
      </w:r>
      <w:r w:rsidR="0086252C">
        <w:rPr>
          <w:rFonts w:ascii="Arial" w:hAnsi="Arial" w:cs="Arial"/>
          <w:sz w:val="22"/>
          <w:szCs w:val="22"/>
        </w:rPr>
        <w:t xml:space="preserve"> is</w:t>
      </w:r>
      <w:r w:rsidR="002B03E7" w:rsidRPr="00A4399B">
        <w:rPr>
          <w:rFonts w:ascii="Arial" w:hAnsi="Arial" w:cs="Arial"/>
          <w:sz w:val="22"/>
          <w:szCs w:val="22"/>
        </w:rPr>
        <w:t xml:space="preserve"> entitle</w:t>
      </w:r>
      <w:r w:rsidR="0086252C">
        <w:rPr>
          <w:rFonts w:ascii="Arial" w:hAnsi="Arial" w:cs="Arial"/>
          <w:sz w:val="22"/>
          <w:szCs w:val="22"/>
        </w:rPr>
        <w:t>d</w:t>
      </w:r>
      <w:r w:rsidR="002B03E7" w:rsidRPr="00A4399B">
        <w:rPr>
          <w:rFonts w:ascii="Arial" w:hAnsi="Arial" w:cs="Arial"/>
          <w:sz w:val="22"/>
          <w:szCs w:val="22"/>
        </w:rPr>
        <w:t xml:space="preserve"> to accommodation </w:t>
      </w:r>
      <w:r w:rsidR="0007793F">
        <w:rPr>
          <w:rFonts w:ascii="Arial" w:hAnsi="Arial" w:cs="Arial"/>
          <w:sz w:val="22"/>
          <w:szCs w:val="22"/>
        </w:rPr>
        <w:t>only d</w:t>
      </w:r>
      <w:r w:rsidR="0007793F" w:rsidRPr="00A4399B">
        <w:rPr>
          <w:rFonts w:ascii="Arial" w:hAnsi="Arial" w:cs="Arial"/>
          <w:sz w:val="22"/>
          <w:szCs w:val="22"/>
        </w:rPr>
        <w:t xml:space="preserve">uring </w:t>
      </w:r>
      <w:r w:rsidR="00DB4C35">
        <w:rPr>
          <w:rFonts w:ascii="Arial" w:hAnsi="Arial" w:cs="Arial"/>
          <w:sz w:val="22"/>
          <w:szCs w:val="22"/>
        </w:rPr>
        <w:t>the COVID-19</w:t>
      </w:r>
      <w:r w:rsidR="00CC6791">
        <w:rPr>
          <w:rFonts w:ascii="Arial" w:hAnsi="Arial" w:cs="Arial"/>
          <w:sz w:val="22"/>
          <w:szCs w:val="22"/>
        </w:rPr>
        <w:t xml:space="preserve"> </w:t>
      </w:r>
      <w:r w:rsidR="0007793F" w:rsidRPr="00A4399B">
        <w:rPr>
          <w:rFonts w:ascii="Arial" w:hAnsi="Arial" w:cs="Arial"/>
          <w:sz w:val="22"/>
          <w:szCs w:val="22"/>
        </w:rPr>
        <w:t>pandemic, in times of a very high alert, and national lockdown on public health grounds</w:t>
      </w:r>
      <w:r w:rsidR="0095658C">
        <w:rPr>
          <w:rFonts w:ascii="Arial" w:hAnsi="Arial" w:cs="Arial"/>
          <w:sz w:val="22"/>
          <w:szCs w:val="22"/>
        </w:rPr>
        <w:t>. Once lockdown comes to an end</w:t>
      </w:r>
      <w:r w:rsidR="004C3595">
        <w:rPr>
          <w:rFonts w:ascii="Arial" w:hAnsi="Arial" w:cs="Arial"/>
          <w:sz w:val="22"/>
          <w:szCs w:val="22"/>
        </w:rPr>
        <w:t xml:space="preserve">, which is </w:t>
      </w:r>
      <w:r w:rsidR="00303139">
        <w:rPr>
          <w:rFonts w:ascii="Arial" w:hAnsi="Arial" w:cs="Arial"/>
          <w:sz w:val="22"/>
          <w:szCs w:val="22"/>
        </w:rPr>
        <w:t xml:space="preserve">presently </w:t>
      </w:r>
      <w:r w:rsidR="00C3520E">
        <w:rPr>
          <w:rFonts w:ascii="Arial" w:hAnsi="Arial" w:cs="Arial"/>
          <w:sz w:val="22"/>
          <w:szCs w:val="22"/>
        </w:rPr>
        <w:t xml:space="preserve">expected to occur on 21 June 2021, </w:t>
      </w:r>
      <w:r w:rsidR="007D6EE0">
        <w:rPr>
          <w:rFonts w:ascii="Arial" w:hAnsi="Arial" w:cs="Arial"/>
          <w:sz w:val="22"/>
          <w:szCs w:val="22"/>
        </w:rPr>
        <w:t>the appellant</w:t>
      </w:r>
      <w:r w:rsidR="00456DD3">
        <w:rPr>
          <w:rFonts w:ascii="Arial" w:hAnsi="Arial" w:cs="Arial"/>
          <w:sz w:val="22"/>
          <w:szCs w:val="22"/>
        </w:rPr>
        <w:t>’s</w:t>
      </w:r>
      <w:r w:rsidR="007D6EE0">
        <w:rPr>
          <w:rFonts w:ascii="Arial" w:hAnsi="Arial" w:cs="Arial"/>
          <w:sz w:val="22"/>
          <w:szCs w:val="22"/>
        </w:rPr>
        <w:t xml:space="preserve"> </w:t>
      </w:r>
      <w:r w:rsidR="000A5720">
        <w:rPr>
          <w:rFonts w:ascii="Arial" w:hAnsi="Arial" w:cs="Arial"/>
          <w:sz w:val="22"/>
          <w:szCs w:val="22"/>
        </w:rPr>
        <w:t xml:space="preserve">entitlement </w:t>
      </w:r>
      <w:r w:rsidR="00456DD3">
        <w:rPr>
          <w:rFonts w:ascii="Arial" w:hAnsi="Arial" w:cs="Arial"/>
          <w:sz w:val="22"/>
          <w:szCs w:val="22"/>
        </w:rPr>
        <w:t>under regulation 3(2)(e)</w:t>
      </w:r>
      <w:r w:rsidR="008D0115">
        <w:rPr>
          <w:rFonts w:ascii="Arial" w:hAnsi="Arial" w:cs="Arial"/>
          <w:sz w:val="22"/>
          <w:szCs w:val="22"/>
        </w:rPr>
        <w:t xml:space="preserve"> will </w:t>
      </w:r>
      <w:r w:rsidR="00715A9C">
        <w:rPr>
          <w:rFonts w:ascii="Arial" w:hAnsi="Arial" w:cs="Arial"/>
          <w:sz w:val="22"/>
          <w:szCs w:val="22"/>
        </w:rPr>
        <w:t xml:space="preserve">come to an </w:t>
      </w:r>
      <w:r w:rsidR="000A5720">
        <w:rPr>
          <w:rFonts w:ascii="Arial" w:hAnsi="Arial" w:cs="Arial"/>
          <w:sz w:val="22"/>
          <w:szCs w:val="22"/>
        </w:rPr>
        <w:t>end</w:t>
      </w:r>
      <w:r w:rsidR="008D0115">
        <w:rPr>
          <w:rFonts w:ascii="Arial" w:hAnsi="Arial" w:cs="Arial"/>
          <w:sz w:val="22"/>
          <w:szCs w:val="22"/>
        </w:rPr>
        <w:t>,</w:t>
      </w:r>
      <w:r w:rsidR="000A5720">
        <w:rPr>
          <w:rFonts w:ascii="Arial" w:hAnsi="Arial" w:cs="Arial"/>
          <w:sz w:val="22"/>
          <w:szCs w:val="22"/>
        </w:rPr>
        <w:t xml:space="preserve"> unless he</w:t>
      </w:r>
      <w:r w:rsidR="00EA1D1C">
        <w:rPr>
          <w:rFonts w:ascii="Arial" w:hAnsi="Arial" w:cs="Arial"/>
          <w:sz w:val="22"/>
          <w:szCs w:val="22"/>
        </w:rPr>
        <w:t xml:space="preserve"> </w:t>
      </w:r>
      <w:r w:rsidR="00566DBD">
        <w:rPr>
          <w:rFonts w:ascii="Arial" w:hAnsi="Arial" w:cs="Arial"/>
          <w:sz w:val="22"/>
          <w:szCs w:val="22"/>
        </w:rPr>
        <w:t xml:space="preserve">can </w:t>
      </w:r>
      <w:r w:rsidR="00EA1D1C">
        <w:rPr>
          <w:rFonts w:ascii="Arial" w:hAnsi="Arial" w:cs="Arial"/>
          <w:sz w:val="22"/>
          <w:szCs w:val="22"/>
        </w:rPr>
        <w:t>satisf</w:t>
      </w:r>
      <w:r w:rsidR="00566DBD">
        <w:rPr>
          <w:rFonts w:ascii="Arial" w:hAnsi="Arial" w:cs="Arial"/>
          <w:sz w:val="22"/>
          <w:szCs w:val="22"/>
        </w:rPr>
        <w:t>y</w:t>
      </w:r>
      <w:r w:rsidR="00EA1D1C">
        <w:rPr>
          <w:rFonts w:ascii="Arial" w:hAnsi="Arial" w:cs="Arial"/>
          <w:sz w:val="22"/>
          <w:szCs w:val="22"/>
        </w:rPr>
        <w:t xml:space="preserve"> one or more of the conditions in regulation 3(2) of the 2005 Regulations.</w:t>
      </w:r>
    </w:p>
    <w:p w14:paraId="408EFA33" w14:textId="77777777" w:rsidR="00306A45" w:rsidRDefault="00306A45" w:rsidP="00306A45">
      <w:pPr>
        <w:tabs>
          <w:tab w:val="num" w:pos="720"/>
        </w:tabs>
        <w:jc w:val="both"/>
        <w:rPr>
          <w:rFonts w:ascii="Arial" w:hAnsi="Arial" w:cs="Arial"/>
          <w:sz w:val="22"/>
          <w:szCs w:val="22"/>
        </w:rPr>
      </w:pPr>
    </w:p>
    <w:p w14:paraId="2173810E" w14:textId="77777777" w:rsidR="00306A45" w:rsidRPr="006640A4" w:rsidRDefault="00306A45" w:rsidP="00306A45">
      <w:pPr>
        <w:ind w:left="-109"/>
        <w:jc w:val="both"/>
        <w:rPr>
          <w:rFonts w:ascii="Arial Black" w:hAnsi="Arial Black" w:cs="Arial"/>
          <w:b/>
          <w:smallCaps/>
          <w:sz w:val="22"/>
          <w:szCs w:val="22"/>
        </w:rPr>
      </w:pPr>
      <w:r w:rsidRPr="006640A4">
        <w:rPr>
          <w:rFonts w:ascii="Arial Black" w:hAnsi="Arial Black" w:cs="Arial"/>
          <w:b/>
          <w:smallCaps/>
          <w:sz w:val="22"/>
          <w:szCs w:val="22"/>
        </w:rPr>
        <w:t>Stayed appeals</w:t>
      </w:r>
    </w:p>
    <w:p w14:paraId="16B3CECA" w14:textId="77777777" w:rsidR="0019391D" w:rsidRDefault="0019391D" w:rsidP="00306A45">
      <w:pPr>
        <w:tabs>
          <w:tab w:val="num" w:pos="720"/>
        </w:tabs>
        <w:jc w:val="both"/>
        <w:rPr>
          <w:rFonts w:ascii="Arial" w:hAnsi="Arial" w:cs="Arial"/>
          <w:sz w:val="22"/>
          <w:szCs w:val="22"/>
        </w:rPr>
      </w:pPr>
    </w:p>
    <w:p w14:paraId="79A15783" w14:textId="3EFC1B1B" w:rsidR="00380526" w:rsidRDefault="002848B5" w:rsidP="002848B5">
      <w:pPr>
        <w:tabs>
          <w:tab w:val="num" w:pos="567"/>
        </w:tabs>
        <w:jc w:val="both"/>
        <w:rPr>
          <w:rFonts w:ascii="Arial" w:hAnsi="Arial" w:cs="Arial"/>
          <w:sz w:val="22"/>
          <w:szCs w:val="22"/>
        </w:rPr>
      </w:pPr>
      <w:r>
        <w:rPr>
          <w:rFonts w:ascii="Arial" w:hAnsi="Arial" w:cs="Arial"/>
          <w:sz w:val="22"/>
          <w:szCs w:val="22"/>
        </w:rPr>
        <w:t>75</w:t>
      </w:r>
      <w:r w:rsidR="00436281">
        <w:rPr>
          <w:rFonts w:ascii="Arial" w:hAnsi="Arial" w:cs="Arial"/>
          <w:sz w:val="22"/>
          <w:szCs w:val="22"/>
        </w:rPr>
        <w:t>.</w:t>
      </w:r>
      <w:r w:rsidR="00F4789E">
        <w:rPr>
          <w:rFonts w:ascii="Arial" w:hAnsi="Arial" w:cs="Arial"/>
          <w:sz w:val="22"/>
          <w:szCs w:val="22"/>
        </w:rPr>
        <w:t xml:space="preserve">  </w:t>
      </w:r>
      <w:r>
        <w:rPr>
          <w:rFonts w:ascii="Arial" w:hAnsi="Arial" w:cs="Arial"/>
          <w:sz w:val="22"/>
          <w:szCs w:val="22"/>
        </w:rPr>
        <w:tab/>
      </w:r>
      <w:r w:rsidR="00436281">
        <w:rPr>
          <w:rFonts w:ascii="Arial" w:hAnsi="Arial" w:cs="Arial"/>
          <w:sz w:val="22"/>
          <w:szCs w:val="22"/>
        </w:rPr>
        <w:t xml:space="preserve">This case was listed as a </w:t>
      </w:r>
      <w:r w:rsidR="00801368">
        <w:rPr>
          <w:rFonts w:ascii="Arial" w:hAnsi="Arial" w:cs="Arial"/>
          <w:sz w:val="22"/>
          <w:szCs w:val="22"/>
        </w:rPr>
        <w:t>l</w:t>
      </w:r>
      <w:r w:rsidR="00436281">
        <w:rPr>
          <w:rFonts w:ascii="Arial" w:hAnsi="Arial" w:cs="Arial"/>
          <w:sz w:val="22"/>
          <w:szCs w:val="22"/>
        </w:rPr>
        <w:t xml:space="preserve">ead case </w:t>
      </w:r>
      <w:r w:rsidR="00E47A56">
        <w:rPr>
          <w:rFonts w:ascii="Arial" w:hAnsi="Arial" w:cs="Arial"/>
          <w:sz w:val="22"/>
          <w:szCs w:val="22"/>
        </w:rPr>
        <w:t xml:space="preserve">on 15 March 2021, </w:t>
      </w:r>
      <w:r w:rsidR="00B470EB">
        <w:rPr>
          <w:rFonts w:ascii="Arial" w:hAnsi="Arial" w:cs="Arial"/>
          <w:sz w:val="22"/>
          <w:szCs w:val="22"/>
        </w:rPr>
        <w:t>under rule 18 of the</w:t>
      </w:r>
      <w:r w:rsidR="00F4789E">
        <w:rPr>
          <w:rFonts w:ascii="Arial" w:hAnsi="Arial" w:cs="Arial"/>
          <w:sz w:val="22"/>
          <w:szCs w:val="22"/>
        </w:rPr>
        <w:t xml:space="preserve"> </w:t>
      </w:r>
      <w:r w:rsidR="00B470EB">
        <w:rPr>
          <w:rFonts w:ascii="Arial" w:hAnsi="Arial" w:cs="Arial"/>
          <w:sz w:val="22"/>
          <w:szCs w:val="22"/>
        </w:rPr>
        <w:t>Tribunal Procedure Rules</w:t>
      </w:r>
      <w:r w:rsidR="00436281">
        <w:rPr>
          <w:rFonts w:ascii="Arial" w:hAnsi="Arial" w:cs="Arial"/>
          <w:sz w:val="22"/>
          <w:szCs w:val="22"/>
        </w:rPr>
        <w:t xml:space="preserve">. There are </w:t>
      </w:r>
      <w:r w:rsidR="000F20D2">
        <w:rPr>
          <w:rFonts w:ascii="Arial" w:hAnsi="Arial" w:cs="Arial"/>
          <w:sz w:val="22"/>
          <w:szCs w:val="22"/>
        </w:rPr>
        <w:t>41</w:t>
      </w:r>
      <w:r w:rsidR="00436281">
        <w:rPr>
          <w:rFonts w:ascii="Arial" w:hAnsi="Arial" w:cs="Arial"/>
          <w:sz w:val="22"/>
          <w:szCs w:val="22"/>
        </w:rPr>
        <w:t xml:space="preserve"> </w:t>
      </w:r>
      <w:r w:rsidR="008F2267">
        <w:rPr>
          <w:rFonts w:ascii="Arial" w:hAnsi="Arial" w:cs="Arial"/>
          <w:sz w:val="22"/>
          <w:szCs w:val="22"/>
        </w:rPr>
        <w:t xml:space="preserve">related </w:t>
      </w:r>
      <w:r w:rsidR="00436281">
        <w:rPr>
          <w:rFonts w:ascii="Arial" w:hAnsi="Arial" w:cs="Arial"/>
          <w:sz w:val="22"/>
          <w:szCs w:val="22"/>
        </w:rPr>
        <w:t>appeals stayed</w:t>
      </w:r>
      <w:r w:rsidR="00DB772A">
        <w:rPr>
          <w:rFonts w:ascii="Arial" w:hAnsi="Arial" w:cs="Arial"/>
          <w:sz w:val="22"/>
          <w:szCs w:val="22"/>
        </w:rPr>
        <w:t xml:space="preserve"> pending the outcome in this case. </w:t>
      </w:r>
      <w:r w:rsidR="00380526">
        <w:rPr>
          <w:rFonts w:ascii="Arial" w:hAnsi="Arial" w:cs="Arial"/>
          <w:sz w:val="22"/>
          <w:szCs w:val="22"/>
        </w:rPr>
        <w:t>Rule 18</w:t>
      </w:r>
      <w:r w:rsidR="00015881">
        <w:rPr>
          <w:rFonts w:ascii="Arial" w:hAnsi="Arial" w:cs="Arial"/>
          <w:sz w:val="22"/>
          <w:szCs w:val="22"/>
        </w:rPr>
        <w:t>(3)</w:t>
      </w:r>
      <w:r w:rsidR="00380526">
        <w:rPr>
          <w:rFonts w:ascii="Arial" w:hAnsi="Arial" w:cs="Arial"/>
          <w:sz w:val="22"/>
          <w:szCs w:val="22"/>
        </w:rPr>
        <w:t xml:space="preserve"> </w:t>
      </w:r>
      <w:r w:rsidR="00015881">
        <w:rPr>
          <w:rFonts w:ascii="Arial" w:hAnsi="Arial" w:cs="Arial"/>
          <w:sz w:val="22"/>
          <w:szCs w:val="22"/>
        </w:rPr>
        <w:t xml:space="preserve">provides that </w:t>
      </w:r>
      <w:r w:rsidR="00652D0C">
        <w:rPr>
          <w:rFonts w:ascii="Arial" w:hAnsi="Arial" w:cs="Arial"/>
          <w:sz w:val="22"/>
          <w:szCs w:val="22"/>
        </w:rPr>
        <w:t>this decision is binding</w:t>
      </w:r>
      <w:r w:rsidR="004D0516">
        <w:rPr>
          <w:rFonts w:ascii="Arial" w:hAnsi="Arial" w:cs="Arial"/>
          <w:sz w:val="22"/>
          <w:szCs w:val="22"/>
        </w:rPr>
        <w:t xml:space="preserve"> on each of those parties</w:t>
      </w:r>
      <w:r w:rsidR="008B02ED">
        <w:rPr>
          <w:rFonts w:ascii="Arial" w:hAnsi="Arial" w:cs="Arial"/>
          <w:sz w:val="22"/>
          <w:szCs w:val="22"/>
        </w:rPr>
        <w:t>,</w:t>
      </w:r>
      <w:r w:rsidR="004D0516">
        <w:rPr>
          <w:rFonts w:ascii="Arial" w:hAnsi="Arial" w:cs="Arial"/>
          <w:sz w:val="22"/>
          <w:szCs w:val="22"/>
        </w:rPr>
        <w:t xml:space="preserve"> unless </w:t>
      </w:r>
      <w:r w:rsidR="001B27DC" w:rsidRPr="0038406F">
        <w:rPr>
          <w:rFonts w:ascii="Arial" w:eastAsia="TimesNewRoman" w:hAnsi="Arial" w:cs="Arial"/>
          <w:sz w:val="22"/>
          <w:szCs w:val="22"/>
        </w:rPr>
        <w:t>th</w:t>
      </w:r>
      <w:r w:rsidR="00330A09">
        <w:rPr>
          <w:rFonts w:ascii="Arial" w:eastAsia="TimesNewRoman" w:hAnsi="Arial" w:cs="Arial"/>
          <w:sz w:val="22"/>
          <w:szCs w:val="22"/>
        </w:rPr>
        <w:t>e</w:t>
      </w:r>
      <w:r w:rsidR="00801368">
        <w:rPr>
          <w:rFonts w:ascii="Arial" w:eastAsia="TimesNewRoman" w:hAnsi="Arial" w:cs="Arial"/>
          <w:sz w:val="22"/>
          <w:szCs w:val="22"/>
        </w:rPr>
        <w:t>y</w:t>
      </w:r>
      <w:r w:rsidR="001B27DC" w:rsidRPr="0038406F">
        <w:rPr>
          <w:rFonts w:ascii="Arial" w:eastAsia="TimesNewRoman" w:hAnsi="Arial" w:cs="Arial"/>
          <w:sz w:val="22"/>
          <w:szCs w:val="22"/>
        </w:rPr>
        <w:t xml:space="preserve"> appl</w:t>
      </w:r>
      <w:r w:rsidR="00801368">
        <w:rPr>
          <w:rFonts w:ascii="Arial" w:eastAsia="TimesNewRoman" w:hAnsi="Arial" w:cs="Arial"/>
          <w:sz w:val="22"/>
          <w:szCs w:val="22"/>
        </w:rPr>
        <w:t>y</w:t>
      </w:r>
      <w:r w:rsidR="001B27DC" w:rsidRPr="0038406F">
        <w:rPr>
          <w:rFonts w:ascii="Arial" w:eastAsia="TimesNewRoman" w:hAnsi="Arial" w:cs="Arial"/>
          <w:sz w:val="22"/>
          <w:szCs w:val="22"/>
        </w:rPr>
        <w:t xml:space="preserve"> for a direction that the</w:t>
      </w:r>
      <w:r w:rsidR="001B27DC">
        <w:rPr>
          <w:rFonts w:ascii="Arial" w:eastAsia="TimesNewRoman" w:hAnsi="Arial" w:cs="Arial"/>
        </w:rPr>
        <w:t xml:space="preserve"> </w:t>
      </w:r>
      <w:r w:rsidR="001B27DC" w:rsidRPr="0038406F">
        <w:rPr>
          <w:rFonts w:ascii="Arial" w:eastAsia="TimesNewRoman" w:hAnsi="Arial" w:cs="Arial"/>
          <w:sz w:val="22"/>
          <w:szCs w:val="22"/>
        </w:rPr>
        <w:t>decision does not</w:t>
      </w:r>
      <w:r w:rsidR="001B27DC">
        <w:rPr>
          <w:rFonts w:ascii="Arial" w:eastAsia="TimesNewRoman" w:hAnsi="Arial" w:cs="Arial"/>
        </w:rPr>
        <w:t xml:space="preserve"> </w:t>
      </w:r>
      <w:r w:rsidR="001B27DC" w:rsidRPr="0038406F">
        <w:rPr>
          <w:rFonts w:ascii="Arial" w:eastAsia="TimesNewRoman" w:hAnsi="Arial" w:cs="Arial"/>
          <w:sz w:val="22"/>
          <w:szCs w:val="22"/>
        </w:rPr>
        <w:t>apply to</w:t>
      </w:r>
      <w:r w:rsidR="0096087C">
        <w:rPr>
          <w:rFonts w:ascii="Arial" w:eastAsia="TimesNewRoman" w:hAnsi="Arial" w:cs="Arial"/>
          <w:sz w:val="22"/>
          <w:szCs w:val="22"/>
        </w:rPr>
        <w:t xml:space="preserve"> them. </w:t>
      </w:r>
      <w:r w:rsidR="00952041">
        <w:rPr>
          <w:rFonts w:ascii="Arial" w:eastAsia="TimesNewRoman" w:hAnsi="Arial" w:cs="Arial"/>
          <w:sz w:val="22"/>
          <w:szCs w:val="22"/>
        </w:rPr>
        <w:t xml:space="preserve">The Tribunal will send </w:t>
      </w:r>
      <w:r w:rsidR="00015881">
        <w:rPr>
          <w:rFonts w:ascii="Arial" w:hAnsi="Arial" w:cs="Arial"/>
          <w:sz w:val="22"/>
          <w:szCs w:val="22"/>
        </w:rPr>
        <w:t xml:space="preserve">a </w:t>
      </w:r>
      <w:r w:rsidR="00F96E0A">
        <w:rPr>
          <w:rFonts w:ascii="Arial" w:hAnsi="Arial" w:cs="Arial"/>
          <w:sz w:val="22"/>
          <w:szCs w:val="22"/>
        </w:rPr>
        <w:t>copy of this decision to each party</w:t>
      </w:r>
      <w:r w:rsidR="00801368">
        <w:rPr>
          <w:rFonts w:ascii="Arial" w:hAnsi="Arial" w:cs="Arial"/>
          <w:sz w:val="22"/>
          <w:szCs w:val="22"/>
        </w:rPr>
        <w:t xml:space="preserve"> and </w:t>
      </w:r>
      <w:r w:rsidR="00D93DBC">
        <w:rPr>
          <w:rFonts w:ascii="Arial" w:hAnsi="Arial" w:cs="Arial"/>
          <w:sz w:val="22"/>
          <w:szCs w:val="22"/>
        </w:rPr>
        <w:t xml:space="preserve">will </w:t>
      </w:r>
      <w:r w:rsidR="00E92284">
        <w:rPr>
          <w:rFonts w:ascii="Arial" w:hAnsi="Arial" w:cs="Arial"/>
          <w:sz w:val="22"/>
          <w:szCs w:val="22"/>
        </w:rPr>
        <w:t>issue directions with the aim of determining each case as soon as reasonably practicable</w:t>
      </w:r>
      <w:r w:rsidR="00232B85">
        <w:rPr>
          <w:rFonts w:ascii="Arial" w:hAnsi="Arial" w:cs="Arial"/>
          <w:sz w:val="22"/>
          <w:szCs w:val="22"/>
        </w:rPr>
        <w:t>.</w:t>
      </w:r>
    </w:p>
    <w:tbl>
      <w:tblPr>
        <w:tblW w:w="8765" w:type="dxa"/>
        <w:tblLook w:val="01E0" w:firstRow="1" w:lastRow="1" w:firstColumn="1" w:lastColumn="1" w:noHBand="0" w:noVBand="0"/>
      </w:tblPr>
      <w:tblGrid>
        <w:gridCol w:w="4978"/>
        <w:gridCol w:w="3787"/>
      </w:tblGrid>
      <w:tr w:rsidR="00A4399B" w:rsidRPr="00A4399B" w14:paraId="2BC6F8CE" w14:textId="77777777" w:rsidTr="00D44CFA">
        <w:trPr>
          <w:trHeight w:val="616"/>
        </w:trPr>
        <w:tc>
          <w:tcPr>
            <w:tcW w:w="4978" w:type="dxa"/>
            <w:shd w:val="clear" w:color="auto" w:fill="auto"/>
          </w:tcPr>
          <w:p w14:paraId="7BE26B7F" w14:textId="77777777" w:rsidR="006640A4" w:rsidRDefault="006640A4" w:rsidP="00A4399B">
            <w:pPr>
              <w:ind w:left="-109"/>
              <w:rPr>
                <w:rFonts w:ascii="Arial" w:hAnsi="Arial" w:cs="Arial"/>
                <w:b/>
                <w:sz w:val="22"/>
                <w:szCs w:val="22"/>
              </w:rPr>
            </w:pPr>
          </w:p>
          <w:p w14:paraId="4EC17FC0" w14:textId="0726F06E" w:rsidR="00226D2B" w:rsidRPr="00A4399B" w:rsidRDefault="00226D2B" w:rsidP="00A4399B">
            <w:pPr>
              <w:ind w:left="-109"/>
              <w:rPr>
                <w:rFonts w:ascii="Arial" w:hAnsi="Arial" w:cs="Arial"/>
                <w:b/>
                <w:sz w:val="22"/>
                <w:szCs w:val="22"/>
              </w:rPr>
            </w:pPr>
            <w:r w:rsidRPr="00A4399B">
              <w:rPr>
                <w:rFonts w:ascii="Arial" w:hAnsi="Arial" w:cs="Arial"/>
                <w:b/>
                <w:sz w:val="22"/>
                <w:szCs w:val="22"/>
              </w:rPr>
              <w:t>Signed:</w:t>
            </w:r>
          </w:p>
          <w:p w14:paraId="704EC249" w14:textId="77777777" w:rsidR="00226D2B" w:rsidRPr="00A4399B" w:rsidRDefault="00226D2B" w:rsidP="00A4399B">
            <w:pPr>
              <w:ind w:left="-109"/>
              <w:rPr>
                <w:rFonts w:ascii="Arial" w:hAnsi="Arial" w:cs="Arial"/>
                <w:sz w:val="22"/>
                <w:szCs w:val="22"/>
              </w:rPr>
            </w:pPr>
          </w:p>
          <w:p w14:paraId="18806D0C" w14:textId="77777777" w:rsidR="00226D2B" w:rsidRPr="004D63EE" w:rsidRDefault="00226D2B" w:rsidP="00A4399B">
            <w:pPr>
              <w:ind w:left="-109"/>
              <w:rPr>
                <w:rFonts w:ascii="Arial" w:hAnsi="Arial" w:cs="Arial"/>
                <w:b/>
                <w:sz w:val="22"/>
                <w:szCs w:val="22"/>
              </w:rPr>
            </w:pPr>
            <w:bookmarkStart w:id="22" w:name="_Hlk27615675"/>
            <w:r w:rsidRPr="004D63EE">
              <w:rPr>
                <w:b/>
                <w:i/>
                <w:noProof/>
              </w:rPr>
              <w:drawing>
                <wp:inline distT="0" distB="0" distL="0" distR="0" wp14:anchorId="3441B4CA" wp14:editId="46B1EF75">
                  <wp:extent cx="852985" cy="279400"/>
                  <wp:effectExtent l="0" t="0" r="4445" b="6350"/>
                  <wp:docPr id="2" name="Picture 2" descr="Sehb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bas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147" cy="288952"/>
                          </a:xfrm>
                          <a:prstGeom prst="rect">
                            <a:avLst/>
                          </a:prstGeom>
                          <a:noFill/>
                          <a:ln>
                            <a:noFill/>
                          </a:ln>
                        </pic:spPr>
                      </pic:pic>
                    </a:graphicData>
                  </a:graphic>
                </wp:inline>
              </w:drawing>
            </w:r>
            <w:bookmarkEnd w:id="22"/>
          </w:p>
          <w:p w14:paraId="11E42906" w14:textId="77777777" w:rsidR="00226D2B" w:rsidRPr="00A4399B" w:rsidRDefault="00226D2B" w:rsidP="00A4399B">
            <w:pPr>
              <w:ind w:left="-109"/>
              <w:rPr>
                <w:rFonts w:ascii="Arial" w:hAnsi="Arial" w:cs="Arial"/>
                <w:b/>
                <w:sz w:val="22"/>
                <w:szCs w:val="22"/>
              </w:rPr>
            </w:pPr>
            <w:r w:rsidRPr="00A4399B">
              <w:rPr>
                <w:rFonts w:ascii="Arial" w:hAnsi="Arial" w:cs="Arial"/>
                <w:b/>
                <w:sz w:val="22"/>
                <w:szCs w:val="22"/>
              </w:rPr>
              <w:t>Principal Judge</w:t>
            </w:r>
          </w:p>
          <w:p w14:paraId="79067F7A" w14:textId="77777777" w:rsidR="00226D2B" w:rsidRPr="00A4399B" w:rsidRDefault="00226D2B" w:rsidP="00A4399B">
            <w:pPr>
              <w:ind w:left="-109"/>
              <w:rPr>
                <w:rFonts w:ascii="Arial" w:hAnsi="Arial" w:cs="Arial"/>
                <w:b/>
                <w:i/>
                <w:sz w:val="22"/>
                <w:szCs w:val="22"/>
              </w:rPr>
            </w:pPr>
            <w:r w:rsidRPr="00A4399B">
              <w:rPr>
                <w:rFonts w:ascii="Arial" w:hAnsi="Arial" w:cs="Arial"/>
                <w:b/>
                <w:sz w:val="22"/>
                <w:szCs w:val="22"/>
              </w:rPr>
              <w:t>FTT – SEC Asylum Support</w:t>
            </w:r>
          </w:p>
        </w:tc>
        <w:tc>
          <w:tcPr>
            <w:tcW w:w="3787" w:type="dxa"/>
            <w:shd w:val="clear" w:color="auto" w:fill="auto"/>
          </w:tcPr>
          <w:p w14:paraId="518CEB2E" w14:textId="77777777" w:rsidR="006640A4" w:rsidRDefault="006640A4" w:rsidP="00D44CFA">
            <w:pPr>
              <w:rPr>
                <w:rFonts w:ascii="Arial" w:hAnsi="Arial" w:cs="Arial"/>
                <w:b/>
                <w:sz w:val="22"/>
                <w:szCs w:val="22"/>
              </w:rPr>
            </w:pPr>
          </w:p>
          <w:p w14:paraId="2BCE93A7" w14:textId="0EF7BFFC" w:rsidR="00226D2B" w:rsidRPr="00A4399B" w:rsidRDefault="00226D2B" w:rsidP="00D44CFA">
            <w:pPr>
              <w:rPr>
                <w:rFonts w:ascii="Arial" w:hAnsi="Arial" w:cs="Arial"/>
                <w:b/>
                <w:sz w:val="22"/>
                <w:szCs w:val="22"/>
              </w:rPr>
            </w:pPr>
            <w:r w:rsidRPr="00A4399B">
              <w:rPr>
                <w:rFonts w:ascii="Arial" w:hAnsi="Arial" w:cs="Arial"/>
                <w:b/>
                <w:sz w:val="22"/>
                <w:szCs w:val="22"/>
              </w:rPr>
              <w:t xml:space="preserve">     Dated:   2</w:t>
            </w:r>
            <w:r w:rsidR="00566DBD">
              <w:rPr>
                <w:rFonts w:ascii="Arial" w:hAnsi="Arial" w:cs="Arial"/>
                <w:b/>
                <w:sz w:val="22"/>
                <w:szCs w:val="22"/>
              </w:rPr>
              <w:t>9</w:t>
            </w:r>
            <w:r w:rsidR="000E24D8" w:rsidRPr="00A4399B">
              <w:rPr>
                <w:rFonts w:ascii="Arial" w:hAnsi="Arial" w:cs="Arial"/>
                <w:b/>
                <w:sz w:val="22"/>
                <w:szCs w:val="22"/>
              </w:rPr>
              <w:t xml:space="preserve"> April 2021</w:t>
            </w:r>
          </w:p>
          <w:p w14:paraId="2F0346FC" w14:textId="77777777" w:rsidR="00226D2B" w:rsidRPr="00A4399B" w:rsidRDefault="00226D2B" w:rsidP="00D44CFA">
            <w:pPr>
              <w:jc w:val="right"/>
              <w:rPr>
                <w:rFonts w:ascii="Arial" w:hAnsi="Arial" w:cs="Arial"/>
                <w:sz w:val="22"/>
                <w:szCs w:val="22"/>
              </w:rPr>
            </w:pPr>
          </w:p>
        </w:tc>
      </w:tr>
    </w:tbl>
    <w:p w14:paraId="2EFAAC95" w14:textId="77777777" w:rsidR="003D33CB" w:rsidRPr="003D33CB" w:rsidRDefault="003D33CB" w:rsidP="004D63EE">
      <w:pPr>
        <w:jc w:val="both"/>
        <w:rPr>
          <w:rFonts w:ascii="Arial Black" w:hAnsi="Arial Black" w:cs="Arial"/>
          <w:bCs/>
          <w:smallCaps/>
          <w:sz w:val="22"/>
          <w:szCs w:val="22"/>
        </w:rPr>
      </w:pPr>
    </w:p>
    <w:sectPr w:rsidR="003D33CB" w:rsidRPr="003D33CB" w:rsidSect="003B1274">
      <w:type w:val="continuous"/>
      <w:pgSz w:w="11907" w:h="16840" w:code="9"/>
      <w:pgMar w:top="1134" w:right="1701"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64554" w14:textId="77777777" w:rsidR="00E0021D" w:rsidRDefault="00E0021D">
      <w:r>
        <w:separator/>
      </w:r>
    </w:p>
  </w:endnote>
  <w:endnote w:type="continuationSeparator" w:id="0">
    <w:p w14:paraId="0BC536C7" w14:textId="77777777" w:rsidR="00E0021D" w:rsidRDefault="00E0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817759"/>
      <w:docPartObj>
        <w:docPartGallery w:val="Page Numbers (Bottom of Page)"/>
        <w:docPartUnique/>
      </w:docPartObj>
    </w:sdtPr>
    <w:sdtEndPr>
      <w:rPr>
        <w:noProof/>
      </w:rPr>
    </w:sdtEndPr>
    <w:sdtContent>
      <w:p w14:paraId="693AC316" w14:textId="58C6CDD1" w:rsidR="00D44CFA" w:rsidRDefault="00D44CFA">
        <w:pPr>
          <w:pStyle w:val="Footer"/>
          <w:jc w:val="right"/>
        </w:pPr>
        <w:r>
          <w:fldChar w:fldCharType="begin"/>
        </w:r>
        <w:r>
          <w:instrText xml:space="preserve"> PAGE   \* MERGEFORMAT </w:instrText>
        </w:r>
        <w:r>
          <w:fldChar w:fldCharType="separate"/>
        </w:r>
        <w:r w:rsidR="00757EAE">
          <w:rPr>
            <w:noProof/>
          </w:rPr>
          <w:t>17</w:t>
        </w:r>
        <w:r>
          <w:rPr>
            <w:noProof/>
          </w:rPr>
          <w:fldChar w:fldCharType="end"/>
        </w:r>
      </w:p>
    </w:sdtContent>
  </w:sdt>
  <w:p w14:paraId="587C71D2" w14:textId="438F3D98" w:rsidR="00D44CFA" w:rsidRDefault="00D44CFA">
    <w:pPr>
      <w:pStyle w:val="Foo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087F" w14:textId="77777777" w:rsidR="00E0021D" w:rsidRDefault="00E0021D">
      <w:r>
        <w:separator/>
      </w:r>
    </w:p>
  </w:footnote>
  <w:footnote w:type="continuationSeparator" w:id="0">
    <w:p w14:paraId="6CA54778" w14:textId="77777777" w:rsidR="00E0021D" w:rsidRDefault="00E00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0F962C"/>
    <w:multiLevelType w:val="hybridMultilevel"/>
    <w:tmpl w:val="665E1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BABC4C"/>
    <w:multiLevelType w:val="hybridMultilevel"/>
    <w:tmpl w:val="4A59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539D09"/>
    <w:multiLevelType w:val="hybridMultilevel"/>
    <w:tmpl w:val="561C6E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F168C"/>
    <w:multiLevelType w:val="hybridMultilevel"/>
    <w:tmpl w:val="7860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91165F"/>
    <w:multiLevelType w:val="hybridMultilevel"/>
    <w:tmpl w:val="5D4227FA"/>
    <w:lvl w:ilvl="0" w:tplc="BE1CB9BE">
      <w:start w:val="1"/>
      <w:numFmt w:val="decimal"/>
      <w:lvlText w:val="%1"/>
      <w:lvlJc w:val="left"/>
      <w:pPr>
        <w:ind w:left="76" w:hanging="360"/>
      </w:pPr>
      <w:rPr>
        <w:rFonts w:hint="default"/>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nsid w:val="0B237218"/>
    <w:multiLevelType w:val="multilevel"/>
    <w:tmpl w:val="CF92D2EE"/>
    <w:lvl w:ilvl="0">
      <w:start w:val="1"/>
      <w:numFmt w:val="decimal"/>
      <w:lvlText w:val="%1."/>
      <w:lvlJc w:val="left"/>
      <w:pPr>
        <w:tabs>
          <w:tab w:val="num" w:pos="1004"/>
        </w:tabs>
        <w:ind w:left="1004" w:hanging="720"/>
      </w:pPr>
      <w:rPr>
        <w:rFonts w:ascii="Arial" w:hAnsi="Arial" w:hint="default"/>
        <w:b w:val="0"/>
        <w:i w:val="0"/>
        <w:color w:val="auto"/>
        <w:sz w:val="22"/>
        <w:szCs w:val="22"/>
        <w:u w:val="none"/>
      </w:rPr>
    </w:lvl>
    <w:lvl w:ilvl="1">
      <w:start w:val="1"/>
      <w:numFmt w:val="lowerLetter"/>
      <w:lvlText w:val="(%2)"/>
      <w:lvlJc w:val="left"/>
      <w:pPr>
        <w:tabs>
          <w:tab w:val="num" w:pos="1152"/>
        </w:tabs>
        <w:ind w:left="1152" w:hanging="415"/>
      </w:pPr>
      <w:rPr>
        <w:rFonts w:hint="default"/>
      </w:rPr>
    </w:lvl>
    <w:lvl w:ilvl="2">
      <w:start w:val="1"/>
      <w:numFmt w:val="lowerRoman"/>
      <w:lvlText w:val="(%3)"/>
      <w:lvlJc w:val="left"/>
      <w:pPr>
        <w:tabs>
          <w:tab w:val="num" w:pos="1701"/>
        </w:tabs>
        <w:ind w:left="1701" w:hanging="549"/>
      </w:pPr>
      <w:rPr>
        <w:rFonts w:hint="default"/>
      </w:rPr>
    </w:lvl>
    <w:lvl w:ilvl="3">
      <w:start w:val="1"/>
      <w:numFmt w:val="decimal"/>
      <w:lvlText w:val="(%4)"/>
      <w:lvlJc w:val="left"/>
      <w:pPr>
        <w:tabs>
          <w:tab w:val="num" w:pos="1644"/>
        </w:tabs>
        <w:ind w:left="1644" w:hanging="492"/>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lowerLetter"/>
      <w:lvlText w:val="(%7)"/>
      <w:lvlJc w:val="left"/>
      <w:pPr>
        <w:tabs>
          <w:tab w:val="num" w:pos="2438"/>
        </w:tabs>
        <w:ind w:left="2438" w:hanging="566"/>
      </w:pPr>
      <w:rPr>
        <w:rFonts w:hint="default"/>
      </w:rPr>
    </w:lvl>
    <w:lvl w:ilvl="7">
      <w:start w:val="1"/>
      <w:numFmt w:val="lowerRoman"/>
      <w:lvlText w:val="(%8)"/>
      <w:lvlJc w:val="left"/>
      <w:pPr>
        <w:tabs>
          <w:tab w:val="num" w:pos="3119"/>
        </w:tabs>
        <w:ind w:left="3119" w:hanging="567"/>
      </w:pPr>
      <w:rPr>
        <w:rFonts w:hint="default"/>
      </w:rPr>
    </w:lvl>
    <w:lvl w:ilvl="8">
      <w:start w:val="1"/>
      <w:numFmt w:val="lowerRoman"/>
      <w:lvlText w:val="%9."/>
      <w:lvlJc w:val="left"/>
      <w:pPr>
        <w:tabs>
          <w:tab w:val="num" w:pos="2952"/>
        </w:tabs>
        <w:ind w:left="2952" w:hanging="360"/>
      </w:pPr>
      <w:rPr>
        <w:rFonts w:hint="default"/>
      </w:rPr>
    </w:lvl>
  </w:abstractNum>
  <w:abstractNum w:abstractNumId="6">
    <w:nsid w:val="0BCA0371"/>
    <w:multiLevelType w:val="singleLevel"/>
    <w:tmpl w:val="04090001"/>
    <w:lvl w:ilvl="0">
      <w:start w:val="113"/>
      <w:numFmt w:val="bullet"/>
      <w:lvlText w:val=""/>
      <w:lvlJc w:val="left"/>
      <w:pPr>
        <w:tabs>
          <w:tab w:val="num" w:pos="360"/>
        </w:tabs>
        <w:ind w:left="360" w:hanging="360"/>
      </w:pPr>
      <w:rPr>
        <w:rFonts w:ascii="Symbol" w:hAnsi="Symbol" w:hint="default"/>
      </w:rPr>
    </w:lvl>
  </w:abstractNum>
  <w:abstractNum w:abstractNumId="7">
    <w:nsid w:val="25DC1929"/>
    <w:multiLevelType w:val="hybridMultilevel"/>
    <w:tmpl w:val="8CA2A9D4"/>
    <w:lvl w:ilvl="0" w:tplc="08090001">
      <w:start w:val="1"/>
      <w:numFmt w:val="bullet"/>
      <w:lvlText w:val=""/>
      <w:lvlJc w:val="left"/>
      <w:pPr>
        <w:tabs>
          <w:tab w:val="num" w:pos="2160"/>
        </w:tabs>
        <w:ind w:left="2160" w:hanging="360"/>
      </w:pPr>
      <w:rPr>
        <w:rFonts w:ascii="Symbol" w:hAnsi="Symbol" w:hint="default"/>
      </w:rPr>
    </w:lvl>
    <w:lvl w:ilvl="1" w:tplc="0809000F">
      <w:start w:val="1"/>
      <w:numFmt w:val="decimal"/>
      <w:lvlText w:val="%2."/>
      <w:lvlJc w:val="left"/>
      <w:pPr>
        <w:tabs>
          <w:tab w:val="num" w:pos="2880"/>
        </w:tabs>
        <w:ind w:left="2880" w:hanging="360"/>
      </w:pPr>
      <w:rPr>
        <w:rFont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nsid w:val="2BF16B82"/>
    <w:multiLevelType w:val="singleLevel"/>
    <w:tmpl w:val="711EFE7E"/>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9">
    <w:nsid w:val="356B0C50"/>
    <w:multiLevelType w:val="hybridMultilevel"/>
    <w:tmpl w:val="BC3E1450"/>
    <w:lvl w:ilvl="0" w:tplc="FFFFFFFF">
      <w:start w:val="1"/>
      <w:numFmt w:val="lowerLetter"/>
      <w:lvlText w:val="%1)"/>
      <w:lvlJc w:val="left"/>
      <w:pPr>
        <w:tabs>
          <w:tab w:val="num" w:pos="2700"/>
        </w:tabs>
        <w:ind w:left="2700" w:hanging="720"/>
      </w:pPr>
      <w:rPr>
        <w:rFonts w:hint="default"/>
      </w:rPr>
    </w:lvl>
    <w:lvl w:ilvl="1" w:tplc="FFFFFFFF">
      <w:start w:val="1"/>
      <w:numFmt w:val="lowerRoman"/>
      <w:lvlText w:val="%2)"/>
      <w:lvlJc w:val="left"/>
      <w:pPr>
        <w:tabs>
          <w:tab w:val="num" w:pos="2700"/>
        </w:tabs>
        <w:ind w:left="2700" w:hanging="720"/>
      </w:pPr>
      <w:rPr>
        <w:rFonts w:hint="default"/>
      </w:rPr>
    </w:lvl>
    <w:lvl w:ilvl="2" w:tplc="FFFFFFFF">
      <w:start w:val="1"/>
      <w:numFmt w:val="lowerRoman"/>
      <w:lvlText w:val="(%3)"/>
      <w:lvlJc w:val="left"/>
      <w:pPr>
        <w:tabs>
          <w:tab w:val="num" w:pos="3600"/>
        </w:tabs>
        <w:ind w:left="3600" w:hanging="720"/>
      </w:pPr>
      <w:rPr>
        <w:rFonts w:hint="default"/>
      </w:r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0">
    <w:nsid w:val="3CBF2DF5"/>
    <w:multiLevelType w:val="singleLevel"/>
    <w:tmpl w:val="A1BC3702"/>
    <w:lvl w:ilvl="0">
      <w:start w:val="1"/>
      <w:numFmt w:val="decimal"/>
      <w:lvlText w:val="%1."/>
      <w:lvlJc w:val="left"/>
      <w:pPr>
        <w:tabs>
          <w:tab w:val="num" w:pos="720"/>
        </w:tabs>
        <w:ind w:left="720" w:hanging="720"/>
      </w:pPr>
      <w:rPr>
        <w:rFonts w:hint="default"/>
      </w:rPr>
    </w:lvl>
  </w:abstractNum>
  <w:abstractNum w:abstractNumId="11">
    <w:nsid w:val="3D325985"/>
    <w:multiLevelType w:val="hybridMultilevel"/>
    <w:tmpl w:val="BC3E1450"/>
    <w:lvl w:ilvl="0" w:tplc="FFFFFFFF">
      <w:start w:val="1"/>
      <w:numFmt w:val="lowerLetter"/>
      <w:lvlText w:val="%1)"/>
      <w:lvlJc w:val="left"/>
      <w:pPr>
        <w:tabs>
          <w:tab w:val="num" w:pos="2700"/>
        </w:tabs>
        <w:ind w:left="2700" w:hanging="720"/>
      </w:pPr>
      <w:rPr>
        <w:rFonts w:hint="default"/>
      </w:rPr>
    </w:lvl>
    <w:lvl w:ilvl="1" w:tplc="FFFFFFFF">
      <w:start w:val="1"/>
      <w:numFmt w:val="lowerRoman"/>
      <w:lvlText w:val="%2)"/>
      <w:lvlJc w:val="left"/>
      <w:pPr>
        <w:tabs>
          <w:tab w:val="num" w:pos="2700"/>
        </w:tabs>
        <w:ind w:left="2700" w:hanging="720"/>
      </w:pPr>
      <w:rPr>
        <w:rFonts w:hint="default"/>
      </w:rPr>
    </w:lvl>
    <w:lvl w:ilvl="2" w:tplc="FFFFFFFF">
      <w:start w:val="1"/>
      <w:numFmt w:val="lowerRoman"/>
      <w:lvlText w:val="(%3)"/>
      <w:lvlJc w:val="left"/>
      <w:pPr>
        <w:tabs>
          <w:tab w:val="num" w:pos="3600"/>
        </w:tabs>
        <w:ind w:left="3600" w:hanging="720"/>
      </w:pPr>
      <w:rPr>
        <w:rFonts w:hint="default"/>
      </w:r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2">
    <w:nsid w:val="4172684F"/>
    <w:multiLevelType w:val="hybridMultilevel"/>
    <w:tmpl w:val="A9FCA176"/>
    <w:lvl w:ilvl="0" w:tplc="6F86D08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5091B46"/>
    <w:multiLevelType w:val="hybridMultilevel"/>
    <w:tmpl w:val="2CEA9134"/>
    <w:lvl w:ilvl="0" w:tplc="E28C982A">
      <w:start w:val="25"/>
      <w:numFmt w:val="decimal"/>
      <w:lvlText w:val="%1."/>
      <w:lvlJc w:val="left"/>
      <w:pPr>
        <w:tabs>
          <w:tab w:val="num" w:pos="1800"/>
        </w:tabs>
        <w:ind w:left="1800" w:hanging="360"/>
      </w:pPr>
      <w:rPr>
        <w:rFonts w:hint="default"/>
        <w:b w:val="0"/>
      </w:rPr>
    </w:lvl>
    <w:lvl w:ilvl="1" w:tplc="2D3258A0">
      <w:start w:val="1"/>
      <w:numFmt w:val="decimal"/>
      <w:lvlText w:val="(%2)"/>
      <w:lvlJc w:val="left"/>
      <w:pPr>
        <w:tabs>
          <w:tab w:val="num" w:pos="2520"/>
        </w:tabs>
        <w:ind w:left="2520" w:hanging="360"/>
      </w:pPr>
      <w:rPr>
        <w:rFonts w:hint="default"/>
      </w:rPr>
    </w:lvl>
    <w:lvl w:ilvl="2" w:tplc="1B9A2A68">
      <w:start w:val="1"/>
      <w:numFmt w:val="lowerRoman"/>
      <w:lvlText w:val="%3)"/>
      <w:lvlJc w:val="left"/>
      <w:pPr>
        <w:tabs>
          <w:tab w:val="num" w:pos="3780"/>
        </w:tabs>
        <w:ind w:left="3780" w:hanging="720"/>
      </w:pPr>
      <w:rPr>
        <w:rFonts w:hint="default"/>
      </w:r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nsid w:val="48B03F1A"/>
    <w:multiLevelType w:val="hybridMultilevel"/>
    <w:tmpl w:val="AC364692"/>
    <w:lvl w:ilvl="0" w:tplc="9AD21206">
      <w:start w:val="1"/>
      <w:numFmt w:val="upp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nsid w:val="50076667"/>
    <w:multiLevelType w:val="multilevel"/>
    <w:tmpl w:val="0E648C30"/>
    <w:lvl w:ilvl="0">
      <w:start w:val="1"/>
      <w:numFmt w:val="decimal"/>
      <w:lvlText w:val="%1."/>
      <w:lvlJc w:val="left"/>
      <w:pPr>
        <w:tabs>
          <w:tab w:val="num" w:pos="720"/>
        </w:tabs>
        <w:ind w:left="720" w:hanging="720"/>
      </w:pPr>
      <w:rPr>
        <w:rFonts w:ascii="Arial" w:hAnsi="Arial" w:hint="default"/>
        <w:b w:val="0"/>
        <w:i w:val="0"/>
        <w:sz w:val="22"/>
        <w:szCs w:val="22"/>
        <w:u w:val="none"/>
      </w:rPr>
    </w:lvl>
    <w:lvl w:ilvl="1">
      <w:start w:val="1"/>
      <w:numFmt w:val="lowerLetter"/>
      <w:lvlText w:val="(%2)"/>
      <w:lvlJc w:val="left"/>
      <w:pPr>
        <w:tabs>
          <w:tab w:val="num" w:pos="1152"/>
        </w:tabs>
        <w:ind w:left="1152" w:hanging="720"/>
      </w:pPr>
      <w:rPr>
        <w:rFonts w:hint="default"/>
      </w:rPr>
    </w:lvl>
    <w:lvl w:ilvl="2">
      <w:start w:val="1"/>
      <w:numFmt w:val="lowerRoman"/>
      <w:lvlText w:val="(%3)"/>
      <w:lvlJc w:val="left"/>
      <w:pPr>
        <w:tabs>
          <w:tab w:val="num" w:pos="1152"/>
        </w:tabs>
        <w:ind w:left="1872" w:hanging="720"/>
      </w:pPr>
      <w:rPr>
        <w:rFonts w:hint="default"/>
      </w:rPr>
    </w:lvl>
    <w:lvl w:ilvl="3">
      <w:start w:val="1"/>
      <w:numFmt w:val="decimal"/>
      <w:lvlText w:val="(%4)"/>
      <w:lvlJc w:val="left"/>
      <w:pPr>
        <w:tabs>
          <w:tab w:val="num" w:pos="1152"/>
        </w:tabs>
        <w:ind w:left="1872" w:hanging="72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lowerLetter"/>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6">
    <w:nsid w:val="59C17BD0"/>
    <w:multiLevelType w:val="hybridMultilevel"/>
    <w:tmpl w:val="9B48A1E6"/>
    <w:lvl w:ilvl="0" w:tplc="0809000F">
      <w:start w:val="12"/>
      <w:numFmt w:val="decimal"/>
      <w:lvlText w:val="%1."/>
      <w:lvlJc w:val="left"/>
      <w:pPr>
        <w:tabs>
          <w:tab w:val="num" w:pos="540"/>
        </w:tabs>
        <w:ind w:left="5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5A03736C"/>
    <w:multiLevelType w:val="multilevel"/>
    <w:tmpl w:val="5204BA68"/>
    <w:lvl w:ilvl="0">
      <w:start w:val="1"/>
      <w:numFmt w:val="decimal"/>
      <w:lvlText w:val="%1."/>
      <w:lvlJc w:val="left"/>
      <w:pPr>
        <w:tabs>
          <w:tab w:val="num" w:pos="720"/>
        </w:tabs>
        <w:ind w:left="720" w:hanging="720"/>
      </w:pPr>
      <w:rPr>
        <w:rFonts w:ascii="Arial" w:hAnsi="Arial" w:hint="default"/>
        <w:b w:val="0"/>
        <w:i w:val="0"/>
        <w:sz w:val="22"/>
        <w:szCs w:val="22"/>
        <w:u w:val="none"/>
      </w:rPr>
    </w:lvl>
    <w:lvl w:ilvl="1">
      <w:start w:val="1"/>
      <w:numFmt w:val="lowerLetter"/>
      <w:lvlText w:val="(%2)"/>
      <w:lvlJc w:val="left"/>
      <w:pPr>
        <w:tabs>
          <w:tab w:val="num" w:pos="1152"/>
        </w:tabs>
        <w:ind w:left="1152" w:hanging="415"/>
      </w:pPr>
      <w:rPr>
        <w:rFonts w:hint="default"/>
      </w:rPr>
    </w:lvl>
    <w:lvl w:ilvl="2">
      <w:start w:val="1"/>
      <w:numFmt w:val="lowerRoman"/>
      <w:lvlText w:val="(%3)"/>
      <w:lvlJc w:val="left"/>
      <w:pPr>
        <w:tabs>
          <w:tab w:val="num" w:pos="1152"/>
        </w:tabs>
        <w:ind w:left="1872" w:hanging="720"/>
      </w:pPr>
      <w:rPr>
        <w:rFonts w:hint="default"/>
      </w:rPr>
    </w:lvl>
    <w:lvl w:ilvl="3">
      <w:start w:val="1"/>
      <w:numFmt w:val="decimal"/>
      <w:lvlText w:val="(%4)"/>
      <w:lvlJc w:val="left"/>
      <w:pPr>
        <w:tabs>
          <w:tab w:val="num" w:pos="1644"/>
        </w:tabs>
        <w:ind w:left="1644" w:hanging="492"/>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lowerLetter"/>
      <w:lvlText w:val="(%7)"/>
      <w:lvlJc w:val="left"/>
      <w:pPr>
        <w:tabs>
          <w:tab w:val="num" w:pos="2232"/>
        </w:tabs>
        <w:ind w:left="2232" w:hanging="360"/>
      </w:pPr>
      <w:rPr>
        <w:rFonts w:hint="default"/>
      </w:rPr>
    </w:lvl>
    <w:lvl w:ilvl="7">
      <w:start w:val="1"/>
      <w:numFmt w:val="lowerRoman"/>
      <w:lvlText w:val="(%8)"/>
      <w:lvlJc w:val="left"/>
      <w:pPr>
        <w:tabs>
          <w:tab w:val="num" w:pos="2835"/>
        </w:tabs>
        <w:ind w:left="2835" w:hanging="340"/>
      </w:pPr>
      <w:rPr>
        <w:rFonts w:hint="default"/>
      </w:rPr>
    </w:lvl>
    <w:lvl w:ilvl="8">
      <w:start w:val="1"/>
      <w:numFmt w:val="lowerRoman"/>
      <w:lvlText w:val="%9."/>
      <w:lvlJc w:val="left"/>
      <w:pPr>
        <w:tabs>
          <w:tab w:val="num" w:pos="2952"/>
        </w:tabs>
        <w:ind w:left="2952" w:hanging="360"/>
      </w:pPr>
      <w:rPr>
        <w:rFonts w:hint="default"/>
      </w:rPr>
    </w:lvl>
  </w:abstractNum>
  <w:abstractNum w:abstractNumId="18">
    <w:nsid w:val="5F78552C"/>
    <w:multiLevelType w:val="hybridMultilevel"/>
    <w:tmpl w:val="8DA8F3D8"/>
    <w:lvl w:ilvl="0" w:tplc="5B3EEC28">
      <w:start w:val="1"/>
      <w:numFmt w:val="decimal"/>
      <w:lvlText w:val="(%1)"/>
      <w:lvlJc w:val="left"/>
      <w:pPr>
        <w:ind w:left="1080" w:hanging="360"/>
      </w:pPr>
      <w:rPr>
        <w:rFonts w:ascii="Arial" w:hAnsi="Arial" w:cs="Arial" w:hint="default"/>
        <w:color w:val="00000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0C416C0"/>
    <w:multiLevelType w:val="hybridMultilevel"/>
    <w:tmpl w:val="C8B09E56"/>
    <w:lvl w:ilvl="0" w:tplc="FFFFFFFF">
      <w:start w:val="1"/>
      <w:numFmt w:val="lowerLetter"/>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nsid w:val="6116660B"/>
    <w:multiLevelType w:val="hybridMultilevel"/>
    <w:tmpl w:val="EEF4B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3837D4"/>
    <w:multiLevelType w:val="hybridMultilevel"/>
    <w:tmpl w:val="4C6801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84731E2"/>
    <w:multiLevelType w:val="multilevel"/>
    <w:tmpl w:val="FCF28F98"/>
    <w:lvl w:ilvl="0">
      <w:start w:val="8"/>
      <w:numFmt w:val="decimal"/>
      <w:lvlText w:val="%1."/>
      <w:lvlJc w:val="left"/>
      <w:pPr>
        <w:tabs>
          <w:tab w:val="num" w:pos="1008"/>
        </w:tabs>
        <w:ind w:left="1008" w:hanging="720"/>
      </w:pPr>
      <w:rPr>
        <w:rFonts w:ascii="Times New Roman" w:hAnsi="Times New Roman" w:hint="default"/>
        <w:b w:val="0"/>
        <w:i w:val="0"/>
        <w:u w:val="no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144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93A1F39"/>
    <w:multiLevelType w:val="hybridMultilevel"/>
    <w:tmpl w:val="1AD23E78"/>
    <w:lvl w:ilvl="0" w:tplc="FFFFFFFF">
      <w:start w:val="5"/>
      <w:numFmt w:val="lowerLetter"/>
      <w:lvlText w:val="%1)"/>
      <w:lvlJc w:val="left"/>
      <w:pPr>
        <w:tabs>
          <w:tab w:val="num" w:pos="2700"/>
        </w:tabs>
        <w:ind w:left="270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967ED54"/>
    <w:multiLevelType w:val="hybridMultilevel"/>
    <w:tmpl w:val="7CE971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9BA5260"/>
    <w:multiLevelType w:val="multilevel"/>
    <w:tmpl w:val="8F1456E6"/>
    <w:lvl w:ilvl="0">
      <w:start w:val="2"/>
      <w:numFmt w:val="decimal"/>
      <w:lvlText w:val="%1."/>
      <w:lvlJc w:val="left"/>
      <w:pPr>
        <w:tabs>
          <w:tab w:val="num" w:pos="720"/>
        </w:tabs>
        <w:ind w:left="720" w:hanging="720"/>
      </w:pPr>
      <w:rPr>
        <w:rFonts w:ascii="Arial" w:hAnsi="Arial" w:hint="default"/>
        <w:b w:val="0"/>
        <w:i w:val="0"/>
        <w:sz w:val="22"/>
        <w:szCs w:val="22"/>
        <w:u w:val="none"/>
      </w:rPr>
    </w:lvl>
    <w:lvl w:ilvl="1">
      <w:start w:val="1"/>
      <w:numFmt w:val="lowerLetter"/>
      <w:lvlText w:val="(%2)"/>
      <w:lvlJc w:val="left"/>
      <w:pPr>
        <w:tabs>
          <w:tab w:val="num" w:pos="1152"/>
        </w:tabs>
        <w:ind w:left="1152" w:hanging="720"/>
      </w:pPr>
      <w:rPr>
        <w:rFonts w:hint="default"/>
      </w:rPr>
    </w:lvl>
    <w:lvl w:ilvl="2">
      <w:start w:val="1"/>
      <w:numFmt w:val="lowerRoman"/>
      <w:lvlText w:val="(%3)"/>
      <w:lvlJc w:val="left"/>
      <w:pPr>
        <w:tabs>
          <w:tab w:val="num" w:pos="1152"/>
        </w:tabs>
        <w:ind w:left="1872" w:hanging="720"/>
      </w:pPr>
      <w:rPr>
        <w:rFonts w:hint="default"/>
      </w:rPr>
    </w:lvl>
    <w:lvl w:ilvl="3">
      <w:start w:val="1"/>
      <w:numFmt w:val="decimal"/>
      <w:lvlText w:val="(%4)"/>
      <w:lvlJc w:val="left"/>
      <w:pPr>
        <w:tabs>
          <w:tab w:val="num" w:pos="1134"/>
        </w:tabs>
        <w:ind w:left="1134" w:hanging="397"/>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lowerLetter"/>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6">
    <w:nsid w:val="6AA33A3A"/>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F490A63"/>
    <w:multiLevelType w:val="hybridMultilevel"/>
    <w:tmpl w:val="3E3A9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29">
    <w:nsid w:val="77DF6B93"/>
    <w:multiLevelType w:val="hybridMultilevel"/>
    <w:tmpl w:val="4998C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FD5B67"/>
    <w:multiLevelType w:val="hybridMultilevel"/>
    <w:tmpl w:val="7A9E66F0"/>
    <w:lvl w:ilvl="0" w:tplc="AE2EA18C">
      <w:start w:val="1"/>
      <w:numFmt w:val="decimal"/>
      <w:lvlText w:val="%1."/>
      <w:lvlJc w:val="left"/>
      <w:pPr>
        <w:tabs>
          <w:tab w:val="num" w:pos="720"/>
        </w:tabs>
        <w:ind w:left="624" w:hanging="624"/>
      </w:pPr>
      <w:rPr>
        <w:rFonts w:hint="default"/>
        <w:b w:val="0"/>
        <w:i w:val="0"/>
        <w:sz w:val="22"/>
        <w:szCs w:val="22"/>
      </w:rPr>
    </w:lvl>
    <w:lvl w:ilvl="1" w:tplc="6338B2E8">
      <w:start w:val="1"/>
      <w:numFmt w:val="decimal"/>
      <w:lvlText w:val="(%2)"/>
      <w:lvlJc w:val="left"/>
      <w:pPr>
        <w:tabs>
          <w:tab w:val="num" w:pos="1470"/>
        </w:tabs>
        <w:ind w:left="1470" w:hanging="390"/>
      </w:pPr>
      <w:rPr>
        <w:rFonts w:hint="default"/>
      </w:rPr>
    </w:lvl>
    <w:lvl w:ilvl="2" w:tplc="ED687174">
      <w:start w:val="1"/>
      <w:numFmt w:val="lowerLetter"/>
      <w:lvlText w:val="(%3)"/>
      <w:lvlJc w:val="left"/>
      <w:pPr>
        <w:tabs>
          <w:tab w:val="num" w:pos="2340"/>
        </w:tabs>
        <w:ind w:left="2340" w:hanging="360"/>
      </w:pPr>
      <w:rPr>
        <w:rFonts w:hint="default"/>
      </w:rPr>
    </w:lvl>
    <w:lvl w:ilvl="3" w:tplc="B0EE4CFA">
      <w:start w:val="1"/>
      <w:numFmt w:val="decimal"/>
      <w:lvlText w:val="(%4)"/>
      <w:lvlJc w:val="left"/>
      <w:pPr>
        <w:tabs>
          <w:tab w:val="num" w:pos="2880"/>
        </w:tabs>
        <w:ind w:left="2880" w:hanging="360"/>
      </w:pPr>
      <w:rPr>
        <w:rFonts w:hint="default"/>
        <w:sz w:val="22"/>
        <w:szCs w:val="22"/>
      </w:rPr>
    </w:lvl>
    <w:lvl w:ilvl="4" w:tplc="96EC515E">
      <w:start w:val="1"/>
      <w:numFmt w:val="lowerLetter"/>
      <w:lvlText w:val="(%5)"/>
      <w:lvlJc w:val="left"/>
      <w:pPr>
        <w:tabs>
          <w:tab w:val="num" w:pos="3054"/>
        </w:tabs>
        <w:ind w:left="3054" w:hanging="360"/>
      </w:pPr>
      <w:rPr>
        <w:rFonts w:hint="default"/>
        <w:sz w:val="22"/>
        <w:szCs w:val="22"/>
      </w:r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D3F2CC5"/>
    <w:multiLevelType w:val="hybridMultilevel"/>
    <w:tmpl w:val="4998C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A10998"/>
    <w:multiLevelType w:val="hybridMultilevel"/>
    <w:tmpl w:val="B0867256"/>
    <w:lvl w:ilvl="0" w:tplc="FFFFFFFF">
      <w:start w:val="1"/>
      <w:numFmt w:val="lowerLetter"/>
      <w:lvlText w:val="%1)"/>
      <w:lvlJc w:val="left"/>
      <w:pPr>
        <w:tabs>
          <w:tab w:val="num" w:pos="4320"/>
        </w:tabs>
        <w:ind w:left="4320" w:hanging="720"/>
      </w:pPr>
      <w:rPr>
        <w:rFonts w:hint="default"/>
      </w:rPr>
    </w:lvl>
    <w:lvl w:ilvl="1" w:tplc="FFFFFFFF">
      <w:start w:val="1"/>
      <w:numFmt w:val="lowerLetter"/>
      <w:lvlText w:val="%2)"/>
      <w:lvlJc w:val="left"/>
      <w:pPr>
        <w:tabs>
          <w:tab w:val="num" w:pos="1800"/>
        </w:tabs>
        <w:ind w:left="180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5"/>
  </w:num>
  <w:num w:numId="4">
    <w:abstractNumId w:val="30"/>
  </w:num>
  <w:num w:numId="5">
    <w:abstractNumId w:val="7"/>
  </w:num>
  <w:num w:numId="6">
    <w:abstractNumId w:val="22"/>
  </w:num>
  <w:num w:numId="7">
    <w:abstractNumId w:val="25"/>
  </w:num>
  <w:num w:numId="8">
    <w:abstractNumId w:val="15"/>
  </w:num>
  <w:num w:numId="9">
    <w:abstractNumId w:val="17"/>
  </w:num>
  <w:num w:numId="10">
    <w:abstractNumId w:val="14"/>
  </w:num>
  <w:num w:numId="11">
    <w:abstractNumId w:val="16"/>
  </w:num>
  <w:num w:numId="12">
    <w:abstractNumId w:val="27"/>
  </w:num>
  <w:num w:numId="13">
    <w:abstractNumId w:val="18"/>
  </w:num>
  <w:num w:numId="14">
    <w:abstractNumId w:val="31"/>
  </w:num>
  <w:num w:numId="15">
    <w:abstractNumId w:val="29"/>
  </w:num>
  <w:num w:numId="16">
    <w:abstractNumId w:val="28"/>
  </w:num>
  <w:num w:numId="17">
    <w:abstractNumId w:val="13"/>
  </w:num>
  <w:num w:numId="18">
    <w:abstractNumId w:val="8"/>
  </w:num>
  <w:num w:numId="19">
    <w:abstractNumId w:val="19"/>
  </w:num>
  <w:num w:numId="20">
    <w:abstractNumId w:val="32"/>
  </w:num>
  <w:num w:numId="21">
    <w:abstractNumId w:val="11"/>
  </w:num>
  <w:num w:numId="22">
    <w:abstractNumId w:val="23"/>
  </w:num>
  <w:num w:numId="23">
    <w:abstractNumId w:val="2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0"/>
  </w:num>
  <w:num w:numId="31">
    <w:abstractNumId w:val="3"/>
  </w:num>
  <w:num w:numId="32">
    <w:abstractNumId w:val="0"/>
  </w:num>
  <w:num w:numId="33">
    <w:abstractNumId w:val="24"/>
  </w:num>
  <w:num w:numId="34">
    <w:abstractNumId w:val="21"/>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2E"/>
    <w:rsid w:val="00000339"/>
    <w:rsid w:val="000003C5"/>
    <w:rsid w:val="00000C83"/>
    <w:rsid w:val="00003319"/>
    <w:rsid w:val="00003FD4"/>
    <w:rsid w:val="00004ABB"/>
    <w:rsid w:val="000058C6"/>
    <w:rsid w:val="00006545"/>
    <w:rsid w:val="00006E85"/>
    <w:rsid w:val="00007BC0"/>
    <w:rsid w:val="00010F50"/>
    <w:rsid w:val="00011042"/>
    <w:rsid w:val="0001166C"/>
    <w:rsid w:val="000116FA"/>
    <w:rsid w:val="00011F3D"/>
    <w:rsid w:val="000129EE"/>
    <w:rsid w:val="00013353"/>
    <w:rsid w:val="000135F6"/>
    <w:rsid w:val="00013AFC"/>
    <w:rsid w:val="00013CF4"/>
    <w:rsid w:val="00014037"/>
    <w:rsid w:val="0001431A"/>
    <w:rsid w:val="00014A4D"/>
    <w:rsid w:val="00015881"/>
    <w:rsid w:val="00015B54"/>
    <w:rsid w:val="000166AB"/>
    <w:rsid w:val="000205D6"/>
    <w:rsid w:val="0002076B"/>
    <w:rsid w:val="00020DB4"/>
    <w:rsid w:val="0002243C"/>
    <w:rsid w:val="00023D83"/>
    <w:rsid w:val="0002689B"/>
    <w:rsid w:val="00026B4F"/>
    <w:rsid w:val="00026FDC"/>
    <w:rsid w:val="000273E1"/>
    <w:rsid w:val="00027FB8"/>
    <w:rsid w:val="00030043"/>
    <w:rsid w:val="000306B1"/>
    <w:rsid w:val="00031D1E"/>
    <w:rsid w:val="00031DA1"/>
    <w:rsid w:val="0003213B"/>
    <w:rsid w:val="000332AF"/>
    <w:rsid w:val="000332CE"/>
    <w:rsid w:val="000341CB"/>
    <w:rsid w:val="00034FAB"/>
    <w:rsid w:val="000352AF"/>
    <w:rsid w:val="00040041"/>
    <w:rsid w:val="00040359"/>
    <w:rsid w:val="00040D73"/>
    <w:rsid w:val="00044BFF"/>
    <w:rsid w:val="00045206"/>
    <w:rsid w:val="000455B7"/>
    <w:rsid w:val="00046A1E"/>
    <w:rsid w:val="000473E8"/>
    <w:rsid w:val="000508A4"/>
    <w:rsid w:val="00051013"/>
    <w:rsid w:val="000514D6"/>
    <w:rsid w:val="00051889"/>
    <w:rsid w:val="000521E6"/>
    <w:rsid w:val="000534A2"/>
    <w:rsid w:val="00053C55"/>
    <w:rsid w:val="00053EF6"/>
    <w:rsid w:val="000540D3"/>
    <w:rsid w:val="0005444A"/>
    <w:rsid w:val="00054F81"/>
    <w:rsid w:val="000570D8"/>
    <w:rsid w:val="00057C4C"/>
    <w:rsid w:val="0006093D"/>
    <w:rsid w:val="00060B92"/>
    <w:rsid w:val="00062186"/>
    <w:rsid w:val="00063108"/>
    <w:rsid w:val="000638C6"/>
    <w:rsid w:val="000638C8"/>
    <w:rsid w:val="000645BF"/>
    <w:rsid w:val="0006463C"/>
    <w:rsid w:val="00064914"/>
    <w:rsid w:val="00064BBB"/>
    <w:rsid w:val="000651B3"/>
    <w:rsid w:val="00065457"/>
    <w:rsid w:val="000661F6"/>
    <w:rsid w:val="000668F8"/>
    <w:rsid w:val="00066E59"/>
    <w:rsid w:val="00067105"/>
    <w:rsid w:val="00067450"/>
    <w:rsid w:val="000678CF"/>
    <w:rsid w:val="00067B9D"/>
    <w:rsid w:val="00070494"/>
    <w:rsid w:val="00070D09"/>
    <w:rsid w:val="00071D87"/>
    <w:rsid w:val="000726EA"/>
    <w:rsid w:val="00072AE2"/>
    <w:rsid w:val="0007376E"/>
    <w:rsid w:val="00073E33"/>
    <w:rsid w:val="0007486B"/>
    <w:rsid w:val="00075B9B"/>
    <w:rsid w:val="00075EBD"/>
    <w:rsid w:val="000767D6"/>
    <w:rsid w:val="00076998"/>
    <w:rsid w:val="0007793F"/>
    <w:rsid w:val="00077C39"/>
    <w:rsid w:val="00077D3D"/>
    <w:rsid w:val="00081063"/>
    <w:rsid w:val="0008118C"/>
    <w:rsid w:val="0008201F"/>
    <w:rsid w:val="00083A70"/>
    <w:rsid w:val="00085813"/>
    <w:rsid w:val="000872E9"/>
    <w:rsid w:val="00087FBB"/>
    <w:rsid w:val="00090417"/>
    <w:rsid w:val="000905D7"/>
    <w:rsid w:val="00090AFC"/>
    <w:rsid w:val="00090F9F"/>
    <w:rsid w:val="00091A44"/>
    <w:rsid w:val="00091E24"/>
    <w:rsid w:val="000923D6"/>
    <w:rsid w:val="00092CDB"/>
    <w:rsid w:val="0009314B"/>
    <w:rsid w:val="00094295"/>
    <w:rsid w:val="0009435C"/>
    <w:rsid w:val="00094621"/>
    <w:rsid w:val="000946F1"/>
    <w:rsid w:val="00094C48"/>
    <w:rsid w:val="000955F8"/>
    <w:rsid w:val="000979B5"/>
    <w:rsid w:val="00097BED"/>
    <w:rsid w:val="00097BF0"/>
    <w:rsid w:val="000A0292"/>
    <w:rsid w:val="000A0E54"/>
    <w:rsid w:val="000A161D"/>
    <w:rsid w:val="000A17B0"/>
    <w:rsid w:val="000A2E0A"/>
    <w:rsid w:val="000A3696"/>
    <w:rsid w:val="000A3D91"/>
    <w:rsid w:val="000A4661"/>
    <w:rsid w:val="000A5720"/>
    <w:rsid w:val="000A58DB"/>
    <w:rsid w:val="000A6891"/>
    <w:rsid w:val="000A6987"/>
    <w:rsid w:val="000B0485"/>
    <w:rsid w:val="000B079D"/>
    <w:rsid w:val="000B0C58"/>
    <w:rsid w:val="000B4257"/>
    <w:rsid w:val="000B4A2C"/>
    <w:rsid w:val="000B4F97"/>
    <w:rsid w:val="000B78E7"/>
    <w:rsid w:val="000C112E"/>
    <w:rsid w:val="000C4905"/>
    <w:rsid w:val="000C5850"/>
    <w:rsid w:val="000C5ED0"/>
    <w:rsid w:val="000C61FC"/>
    <w:rsid w:val="000C710E"/>
    <w:rsid w:val="000D0453"/>
    <w:rsid w:val="000D107D"/>
    <w:rsid w:val="000D2939"/>
    <w:rsid w:val="000D2C9C"/>
    <w:rsid w:val="000D39DB"/>
    <w:rsid w:val="000D4BE3"/>
    <w:rsid w:val="000D5049"/>
    <w:rsid w:val="000D64C6"/>
    <w:rsid w:val="000D672D"/>
    <w:rsid w:val="000D6B14"/>
    <w:rsid w:val="000D6FAC"/>
    <w:rsid w:val="000D71ED"/>
    <w:rsid w:val="000D7A2B"/>
    <w:rsid w:val="000D7AD5"/>
    <w:rsid w:val="000E09B6"/>
    <w:rsid w:val="000E0E7E"/>
    <w:rsid w:val="000E1FBC"/>
    <w:rsid w:val="000E24D8"/>
    <w:rsid w:val="000E3F01"/>
    <w:rsid w:val="000E5076"/>
    <w:rsid w:val="000E5812"/>
    <w:rsid w:val="000E647A"/>
    <w:rsid w:val="000E679C"/>
    <w:rsid w:val="000E6808"/>
    <w:rsid w:val="000E743E"/>
    <w:rsid w:val="000E75E0"/>
    <w:rsid w:val="000E775D"/>
    <w:rsid w:val="000E7D1E"/>
    <w:rsid w:val="000F078C"/>
    <w:rsid w:val="000F0AEA"/>
    <w:rsid w:val="000F0E48"/>
    <w:rsid w:val="000F129C"/>
    <w:rsid w:val="000F20D2"/>
    <w:rsid w:val="000F21A4"/>
    <w:rsid w:val="000F36AF"/>
    <w:rsid w:val="000F378F"/>
    <w:rsid w:val="000F3EAD"/>
    <w:rsid w:val="000F6B51"/>
    <w:rsid w:val="000F78CC"/>
    <w:rsid w:val="000F7A2F"/>
    <w:rsid w:val="00101346"/>
    <w:rsid w:val="001015BB"/>
    <w:rsid w:val="00101BFF"/>
    <w:rsid w:val="00101E10"/>
    <w:rsid w:val="0010296A"/>
    <w:rsid w:val="001030DF"/>
    <w:rsid w:val="001033E7"/>
    <w:rsid w:val="001034A8"/>
    <w:rsid w:val="00103ED7"/>
    <w:rsid w:val="00104E61"/>
    <w:rsid w:val="001057E9"/>
    <w:rsid w:val="001059A4"/>
    <w:rsid w:val="00106DD7"/>
    <w:rsid w:val="0010755E"/>
    <w:rsid w:val="0011215C"/>
    <w:rsid w:val="00112832"/>
    <w:rsid w:val="001134DC"/>
    <w:rsid w:val="001136BF"/>
    <w:rsid w:val="00113700"/>
    <w:rsid w:val="0011413E"/>
    <w:rsid w:val="001142EE"/>
    <w:rsid w:val="00115114"/>
    <w:rsid w:val="001155FC"/>
    <w:rsid w:val="00116BF3"/>
    <w:rsid w:val="00116C69"/>
    <w:rsid w:val="0011755E"/>
    <w:rsid w:val="0012002D"/>
    <w:rsid w:val="00120431"/>
    <w:rsid w:val="00120C86"/>
    <w:rsid w:val="00121B5E"/>
    <w:rsid w:val="001241EF"/>
    <w:rsid w:val="001243E1"/>
    <w:rsid w:val="0012503E"/>
    <w:rsid w:val="001252E2"/>
    <w:rsid w:val="00125906"/>
    <w:rsid w:val="001262AA"/>
    <w:rsid w:val="0013082F"/>
    <w:rsid w:val="001329D5"/>
    <w:rsid w:val="00133153"/>
    <w:rsid w:val="001332A2"/>
    <w:rsid w:val="00133D71"/>
    <w:rsid w:val="00136388"/>
    <w:rsid w:val="001363AA"/>
    <w:rsid w:val="00136C80"/>
    <w:rsid w:val="00137521"/>
    <w:rsid w:val="0014117F"/>
    <w:rsid w:val="00141EC6"/>
    <w:rsid w:val="00142038"/>
    <w:rsid w:val="001426B8"/>
    <w:rsid w:val="00142E4E"/>
    <w:rsid w:val="00145631"/>
    <w:rsid w:val="0014592D"/>
    <w:rsid w:val="00145ED0"/>
    <w:rsid w:val="00147B0D"/>
    <w:rsid w:val="00147F50"/>
    <w:rsid w:val="001509CF"/>
    <w:rsid w:val="00150DC0"/>
    <w:rsid w:val="00151BC7"/>
    <w:rsid w:val="00153C4C"/>
    <w:rsid w:val="001540F1"/>
    <w:rsid w:val="0015484A"/>
    <w:rsid w:val="0015584C"/>
    <w:rsid w:val="001563D7"/>
    <w:rsid w:val="001566FA"/>
    <w:rsid w:val="00160952"/>
    <w:rsid w:val="001612B8"/>
    <w:rsid w:val="00161990"/>
    <w:rsid w:val="00162AC3"/>
    <w:rsid w:val="0016307A"/>
    <w:rsid w:val="001635C5"/>
    <w:rsid w:val="001638F8"/>
    <w:rsid w:val="0016505A"/>
    <w:rsid w:val="00165453"/>
    <w:rsid w:val="001677A3"/>
    <w:rsid w:val="00167D6C"/>
    <w:rsid w:val="00170C82"/>
    <w:rsid w:val="00171114"/>
    <w:rsid w:val="00171FF7"/>
    <w:rsid w:val="0017526D"/>
    <w:rsid w:val="00175963"/>
    <w:rsid w:val="00176E29"/>
    <w:rsid w:val="00177C77"/>
    <w:rsid w:val="001802DC"/>
    <w:rsid w:val="00181059"/>
    <w:rsid w:val="00181675"/>
    <w:rsid w:val="0018198D"/>
    <w:rsid w:val="00182408"/>
    <w:rsid w:val="001835EB"/>
    <w:rsid w:val="001837F7"/>
    <w:rsid w:val="00184A09"/>
    <w:rsid w:val="00184F37"/>
    <w:rsid w:val="0018589A"/>
    <w:rsid w:val="001863D3"/>
    <w:rsid w:val="001866A3"/>
    <w:rsid w:val="001872BA"/>
    <w:rsid w:val="00187B1F"/>
    <w:rsid w:val="00187FC6"/>
    <w:rsid w:val="00187FE6"/>
    <w:rsid w:val="00190759"/>
    <w:rsid w:val="00190901"/>
    <w:rsid w:val="00190B0D"/>
    <w:rsid w:val="0019391D"/>
    <w:rsid w:val="0019554D"/>
    <w:rsid w:val="00195761"/>
    <w:rsid w:val="00195BD3"/>
    <w:rsid w:val="00195D0A"/>
    <w:rsid w:val="001966BD"/>
    <w:rsid w:val="001974B2"/>
    <w:rsid w:val="00197572"/>
    <w:rsid w:val="00197FB3"/>
    <w:rsid w:val="001A049C"/>
    <w:rsid w:val="001A0F4E"/>
    <w:rsid w:val="001A209A"/>
    <w:rsid w:val="001A2367"/>
    <w:rsid w:val="001A44EC"/>
    <w:rsid w:val="001A4E9D"/>
    <w:rsid w:val="001A4F82"/>
    <w:rsid w:val="001A5241"/>
    <w:rsid w:val="001A62F6"/>
    <w:rsid w:val="001A6985"/>
    <w:rsid w:val="001A6EE6"/>
    <w:rsid w:val="001A7CBD"/>
    <w:rsid w:val="001B075E"/>
    <w:rsid w:val="001B0C77"/>
    <w:rsid w:val="001B27DC"/>
    <w:rsid w:val="001B2C22"/>
    <w:rsid w:val="001B2EC3"/>
    <w:rsid w:val="001B360F"/>
    <w:rsid w:val="001B36BF"/>
    <w:rsid w:val="001B41A3"/>
    <w:rsid w:val="001B4235"/>
    <w:rsid w:val="001B48C8"/>
    <w:rsid w:val="001B5C49"/>
    <w:rsid w:val="001B6082"/>
    <w:rsid w:val="001B6322"/>
    <w:rsid w:val="001B7CFD"/>
    <w:rsid w:val="001C00A2"/>
    <w:rsid w:val="001C1A5D"/>
    <w:rsid w:val="001C3178"/>
    <w:rsid w:val="001C44FD"/>
    <w:rsid w:val="001C456E"/>
    <w:rsid w:val="001C4969"/>
    <w:rsid w:val="001C5678"/>
    <w:rsid w:val="001C5CAE"/>
    <w:rsid w:val="001C79E6"/>
    <w:rsid w:val="001D029B"/>
    <w:rsid w:val="001D02E5"/>
    <w:rsid w:val="001D2B39"/>
    <w:rsid w:val="001D3475"/>
    <w:rsid w:val="001D3510"/>
    <w:rsid w:val="001D3A43"/>
    <w:rsid w:val="001D3B8C"/>
    <w:rsid w:val="001D430B"/>
    <w:rsid w:val="001D4554"/>
    <w:rsid w:val="001D4798"/>
    <w:rsid w:val="001D4AE6"/>
    <w:rsid w:val="001D5EF7"/>
    <w:rsid w:val="001D716F"/>
    <w:rsid w:val="001D78B1"/>
    <w:rsid w:val="001D7FDF"/>
    <w:rsid w:val="001E009F"/>
    <w:rsid w:val="001E03F0"/>
    <w:rsid w:val="001E092B"/>
    <w:rsid w:val="001E1654"/>
    <w:rsid w:val="001E1A1F"/>
    <w:rsid w:val="001E1DBF"/>
    <w:rsid w:val="001E2372"/>
    <w:rsid w:val="001E3C33"/>
    <w:rsid w:val="001E4440"/>
    <w:rsid w:val="001E52D2"/>
    <w:rsid w:val="001E5BEB"/>
    <w:rsid w:val="001E6C53"/>
    <w:rsid w:val="001E7485"/>
    <w:rsid w:val="001E7C2E"/>
    <w:rsid w:val="001F023D"/>
    <w:rsid w:val="001F069A"/>
    <w:rsid w:val="001F1573"/>
    <w:rsid w:val="001F190B"/>
    <w:rsid w:val="001F205B"/>
    <w:rsid w:val="001F3088"/>
    <w:rsid w:val="001F38FC"/>
    <w:rsid w:val="001F3B82"/>
    <w:rsid w:val="001F3B95"/>
    <w:rsid w:val="001F3CFF"/>
    <w:rsid w:val="001F3E28"/>
    <w:rsid w:val="001F5311"/>
    <w:rsid w:val="001F6D9F"/>
    <w:rsid w:val="002004A9"/>
    <w:rsid w:val="002006FD"/>
    <w:rsid w:val="002007F4"/>
    <w:rsid w:val="002013AB"/>
    <w:rsid w:val="00201B22"/>
    <w:rsid w:val="0020277B"/>
    <w:rsid w:val="002027EA"/>
    <w:rsid w:val="0020284D"/>
    <w:rsid w:val="002031A9"/>
    <w:rsid w:val="00203E60"/>
    <w:rsid w:val="00205A3B"/>
    <w:rsid w:val="0021029E"/>
    <w:rsid w:val="00210E0F"/>
    <w:rsid w:val="00211C31"/>
    <w:rsid w:val="0021212A"/>
    <w:rsid w:val="00213E5B"/>
    <w:rsid w:val="002158AD"/>
    <w:rsid w:val="00215D2E"/>
    <w:rsid w:val="00216073"/>
    <w:rsid w:val="00216FD4"/>
    <w:rsid w:val="002208BB"/>
    <w:rsid w:val="002231D9"/>
    <w:rsid w:val="00223379"/>
    <w:rsid w:val="00225FA9"/>
    <w:rsid w:val="00226D2B"/>
    <w:rsid w:val="0022767E"/>
    <w:rsid w:val="00230BEA"/>
    <w:rsid w:val="0023106A"/>
    <w:rsid w:val="0023132E"/>
    <w:rsid w:val="00232022"/>
    <w:rsid w:val="00232AF2"/>
    <w:rsid w:val="00232B85"/>
    <w:rsid w:val="002339AB"/>
    <w:rsid w:val="00233F50"/>
    <w:rsid w:val="00234930"/>
    <w:rsid w:val="002350F9"/>
    <w:rsid w:val="00235113"/>
    <w:rsid w:val="002360C3"/>
    <w:rsid w:val="002364F6"/>
    <w:rsid w:val="00237088"/>
    <w:rsid w:val="0024102C"/>
    <w:rsid w:val="00242C0D"/>
    <w:rsid w:val="00242F10"/>
    <w:rsid w:val="0024310A"/>
    <w:rsid w:val="00243BBF"/>
    <w:rsid w:val="00247ACF"/>
    <w:rsid w:val="00251A9D"/>
    <w:rsid w:val="0025259D"/>
    <w:rsid w:val="00252D46"/>
    <w:rsid w:val="002533D3"/>
    <w:rsid w:val="002534AE"/>
    <w:rsid w:val="002569E8"/>
    <w:rsid w:val="00256D62"/>
    <w:rsid w:val="00257B2A"/>
    <w:rsid w:val="00260D30"/>
    <w:rsid w:val="00260F75"/>
    <w:rsid w:val="00261ED7"/>
    <w:rsid w:val="00265956"/>
    <w:rsid w:val="00266782"/>
    <w:rsid w:val="00266DB6"/>
    <w:rsid w:val="0026770D"/>
    <w:rsid w:val="00267A4A"/>
    <w:rsid w:val="00267BD6"/>
    <w:rsid w:val="00270C77"/>
    <w:rsid w:val="002714BB"/>
    <w:rsid w:val="00271CFD"/>
    <w:rsid w:val="002731A1"/>
    <w:rsid w:val="00273AF8"/>
    <w:rsid w:val="0027537F"/>
    <w:rsid w:val="0027610D"/>
    <w:rsid w:val="00277250"/>
    <w:rsid w:val="002774E6"/>
    <w:rsid w:val="00277739"/>
    <w:rsid w:val="00277C72"/>
    <w:rsid w:val="002806EA"/>
    <w:rsid w:val="00280852"/>
    <w:rsid w:val="00281435"/>
    <w:rsid w:val="00281684"/>
    <w:rsid w:val="00281A05"/>
    <w:rsid w:val="002825F2"/>
    <w:rsid w:val="002838D6"/>
    <w:rsid w:val="00283930"/>
    <w:rsid w:val="00284833"/>
    <w:rsid w:val="002848B5"/>
    <w:rsid w:val="00285073"/>
    <w:rsid w:val="0028571F"/>
    <w:rsid w:val="00286486"/>
    <w:rsid w:val="0028665B"/>
    <w:rsid w:val="00286967"/>
    <w:rsid w:val="00286D66"/>
    <w:rsid w:val="002870E5"/>
    <w:rsid w:val="00291577"/>
    <w:rsid w:val="0029304D"/>
    <w:rsid w:val="00293FB6"/>
    <w:rsid w:val="00294C8F"/>
    <w:rsid w:val="002958C7"/>
    <w:rsid w:val="002958F9"/>
    <w:rsid w:val="00295DE7"/>
    <w:rsid w:val="00296638"/>
    <w:rsid w:val="00296651"/>
    <w:rsid w:val="00296D9D"/>
    <w:rsid w:val="002A077B"/>
    <w:rsid w:val="002A0BAC"/>
    <w:rsid w:val="002A1CD8"/>
    <w:rsid w:val="002A2082"/>
    <w:rsid w:val="002A2604"/>
    <w:rsid w:val="002A3A82"/>
    <w:rsid w:val="002A4290"/>
    <w:rsid w:val="002A52AA"/>
    <w:rsid w:val="002A5771"/>
    <w:rsid w:val="002A6EA0"/>
    <w:rsid w:val="002A78BE"/>
    <w:rsid w:val="002A7CFA"/>
    <w:rsid w:val="002B03E7"/>
    <w:rsid w:val="002B161B"/>
    <w:rsid w:val="002B221C"/>
    <w:rsid w:val="002B34E7"/>
    <w:rsid w:val="002B379C"/>
    <w:rsid w:val="002B4D54"/>
    <w:rsid w:val="002B562D"/>
    <w:rsid w:val="002B6AAD"/>
    <w:rsid w:val="002C19FC"/>
    <w:rsid w:val="002C1DA9"/>
    <w:rsid w:val="002C2590"/>
    <w:rsid w:val="002C3214"/>
    <w:rsid w:val="002C3EAC"/>
    <w:rsid w:val="002C4019"/>
    <w:rsid w:val="002C51E5"/>
    <w:rsid w:val="002C51F2"/>
    <w:rsid w:val="002C6D98"/>
    <w:rsid w:val="002C7145"/>
    <w:rsid w:val="002D17CA"/>
    <w:rsid w:val="002D1BE6"/>
    <w:rsid w:val="002D2A83"/>
    <w:rsid w:val="002D2C6F"/>
    <w:rsid w:val="002D2FE5"/>
    <w:rsid w:val="002D34AE"/>
    <w:rsid w:val="002D412C"/>
    <w:rsid w:val="002D5120"/>
    <w:rsid w:val="002D54BA"/>
    <w:rsid w:val="002D58BE"/>
    <w:rsid w:val="002D658E"/>
    <w:rsid w:val="002D69DB"/>
    <w:rsid w:val="002D6A52"/>
    <w:rsid w:val="002D7824"/>
    <w:rsid w:val="002E141B"/>
    <w:rsid w:val="002E1A1F"/>
    <w:rsid w:val="002E3D75"/>
    <w:rsid w:val="002E3E15"/>
    <w:rsid w:val="002E48C7"/>
    <w:rsid w:val="002E4961"/>
    <w:rsid w:val="002E56D3"/>
    <w:rsid w:val="002E571C"/>
    <w:rsid w:val="002E7A45"/>
    <w:rsid w:val="002E7B6F"/>
    <w:rsid w:val="002F0E68"/>
    <w:rsid w:val="002F0ED7"/>
    <w:rsid w:val="002F1165"/>
    <w:rsid w:val="002F2155"/>
    <w:rsid w:val="002F2F3A"/>
    <w:rsid w:val="002F303C"/>
    <w:rsid w:val="002F33BD"/>
    <w:rsid w:val="002F3704"/>
    <w:rsid w:val="002F4C87"/>
    <w:rsid w:val="002F737E"/>
    <w:rsid w:val="003030D0"/>
    <w:rsid w:val="00303139"/>
    <w:rsid w:val="00303322"/>
    <w:rsid w:val="003047AD"/>
    <w:rsid w:val="00304D20"/>
    <w:rsid w:val="00305547"/>
    <w:rsid w:val="0030586A"/>
    <w:rsid w:val="00305DB4"/>
    <w:rsid w:val="003065FF"/>
    <w:rsid w:val="00306A45"/>
    <w:rsid w:val="00307C12"/>
    <w:rsid w:val="00310028"/>
    <w:rsid w:val="003100FB"/>
    <w:rsid w:val="0031202C"/>
    <w:rsid w:val="00312199"/>
    <w:rsid w:val="003134AC"/>
    <w:rsid w:val="00313632"/>
    <w:rsid w:val="00317719"/>
    <w:rsid w:val="00317755"/>
    <w:rsid w:val="00320C75"/>
    <w:rsid w:val="00321A80"/>
    <w:rsid w:val="00321F1E"/>
    <w:rsid w:val="00322128"/>
    <w:rsid w:val="003224A1"/>
    <w:rsid w:val="00323924"/>
    <w:rsid w:val="003246F5"/>
    <w:rsid w:val="0032794D"/>
    <w:rsid w:val="0033021B"/>
    <w:rsid w:val="00330A09"/>
    <w:rsid w:val="00331CDC"/>
    <w:rsid w:val="00331F5C"/>
    <w:rsid w:val="00332A57"/>
    <w:rsid w:val="0033309D"/>
    <w:rsid w:val="00333EDC"/>
    <w:rsid w:val="00334824"/>
    <w:rsid w:val="00335212"/>
    <w:rsid w:val="00336F53"/>
    <w:rsid w:val="00337074"/>
    <w:rsid w:val="00337C20"/>
    <w:rsid w:val="00337C34"/>
    <w:rsid w:val="00337E0A"/>
    <w:rsid w:val="00340002"/>
    <w:rsid w:val="0034036A"/>
    <w:rsid w:val="0034145B"/>
    <w:rsid w:val="0034303A"/>
    <w:rsid w:val="003437AF"/>
    <w:rsid w:val="00343CE1"/>
    <w:rsid w:val="003451F7"/>
    <w:rsid w:val="003459A6"/>
    <w:rsid w:val="00345C46"/>
    <w:rsid w:val="00346817"/>
    <w:rsid w:val="00346B28"/>
    <w:rsid w:val="00350016"/>
    <w:rsid w:val="0035007E"/>
    <w:rsid w:val="00350481"/>
    <w:rsid w:val="00350EF1"/>
    <w:rsid w:val="00351EBB"/>
    <w:rsid w:val="00353E02"/>
    <w:rsid w:val="00355750"/>
    <w:rsid w:val="00357225"/>
    <w:rsid w:val="00361025"/>
    <w:rsid w:val="003612BE"/>
    <w:rsid w:val="003616BA"/>
    <w:rsid w:val="00361B7A"/>
    <w:rsid w:val="003623E3"/>
    <w:rsid w:val="00362DFF"/>
    <w:rsid w:val="003630F7"/>
    <w:rsid w:val="003635BC"/>
    <w:rsid w:val="003637E0"/>
    <w:rsid w:val="003638C9"/>
    <w:rsid w:val="00363EDC"/>
    <w:rsid w:val="003658C7"/>
    <w:rsid w:val="00367033"/>
    <w:rsid w:val="0036788E"/>
    <w:rsid w:val="00370684"/>
    <w:rsid w:val="0037085A"/>
    <w:rsid w:val="0037194A"/>
    <w:rsid w:val="0037245E"/>
    <w:rsid w:val="003724C9"/>
    <w:rsid w:val="003758D2"/>
    <w:rsid w:val="00376101"/>
    <w:rsid w:val="00377065"/>
    <w:rsid w:val="0037710C"/>
    <w:rsid w:val="00380526"/>
    <w:rsid w:val="003822AD"/>
    <w:rsid w:val="0038403F"/>
    <w:rsid w:val="0038628A"/>
    <w:rsid w:val="00387B85"/>
    <w:rsid w:val="00387E71"/>
    <w:rsid w:val="0039097A"/>
    <w:rsid w:val="00390C8A"/>
    <w:rsid w:val="00391540"/>
    <w:rsid w:val="00391CBC"/>
    <w:rsid w:val="00393186"/>
    <w:rsid w:val="00394D1B"/>
    <w:rsid w:val="00394FD7"/>
    <w:rsid w:val="003A022B"/>
    <w:rsid w:val="003A0D03"/>
    <w:rsid w:val="003A0E10"/>
    <w:rsid w:val="003A17B8"/>
    <w:rsid w:val="003A1BCD"/>
    <w:rsid w:val="003A1DC3"/>
    <w:rsid w:val="003A26DB"/>
    <w:rsid w:val="003A28D1"/>
    <w:rsid w:val="003A2E8C"/>
    <w:rsid w:val="003A3B06"/>
    <w:rsid w:val="003A4E6C"/>
    <w:rsid w:val="003A4EE9"/>
    <w:rsid w:val="003A5534"/>
    <w:rsid w:val="003A6EEE"/>
    <w:rsid w:val="003A6FE1"/>
    <w:rsid w:val="003B01C2"/>
    <w:rsid w:val="003B038B"/>
    <w:rsid w:val="003B0823"/>
    <w:rsid w:val="003B0890"/>
    <w:rsid w:val="003B1274"/>
    <w:rsid w:val="003B1351"/>
    <w:rsid w:val="003B362F"/>
    <w:rsid w:val="003B3CE4"/>
    <w:rsid w:val="003B41E9"/>
    <w:rsid w:val="003B459D"/>
    <w:rsid w:val="003B6E0E"/>
    <w:rsid w:val="003B7606"/>
    <w:rsid w:val="003C08E3"/>
    <w:rsid w:val="003C0972"/>
    <w:rsid w:val="003C0E29"/>
    <w:rsid w:val="003C1218"/>
    <w:rsid w:val="003C1BB3"/>
    <w:rsid w:val="003C1E23"/>
    <w:rsid w:val="003C1F50"/>
    <w:rsid w:val="003C218A"/>
    <w:rsid w:val="003C2DEF"/>
    <w:rsid w:val="003C2ED7"/>
    <w:rsid w:val="003C37A7"/>
    <w:rsid w:val="003C3D63"/>
    <w:rsid w:val="003C4E76"/>
    <w:rsid w:val="003C516B"/>
    <w:rsid w:val="003C5742"/>
    <w:rsid w:val="003C589F"/>
    <w:rsid w:val="003C6858"/>
    <w:rsid w:val="003C74C7"/>
    <w:rsid w:val="003C7A79"/>
    <w:rsid w:val="003C7D6B"/>
    <w:rsid w:val="003D06D1"/>
    <w:rsid w:val="003D0711"/>
    <w:rsid w:val="003D13AF"/>
    <w:rsid w:val="003D1D21"/>
    <w:rsid w:val="003D20F4"/>
    <w:rsid w:val="003D2295"/>
    <w:rsid w:val="003D33CB"/>
    <w:rsid w:val="003D3C78"/>
    <w:rsid w:val="003D4264"/>
    <w:rsid w:val="003D460C"/>
    <w:rsid w:val="003D4E30"/>
    <w:rsid w:val="003D58C3"/>
    <w:rsid w:val="003D5D46"/>
    <w:rsid w:val="003D7A90"/>
    <w:rsid w:val="003E1B46"/>
    <w:rsid w:val="003E2686"/>
    <w:rsid w:val="003E2C19"/>
    <w:rsid w:val="003E2DFD"/>
    <w:rsid w:val="003E37B4"/>
    <w:rsid w:val="003E3E31"/>
    <w:rsid w:val="003E499F"/>
    <w:rsid w:val="003E67A6"/>
    <w:rsid w:val="003E7192"/>
    <w:rsid w:val="003F0362"/>
    <w:rsid w:val="003F0628"/>
    <w:rsid w:val="003F07CB"/>
    <w:rsid w:val="003F2301"/>
    <w:rsid w:val="003F23A8"/>
    <w:rsid w:val="003F322B"/>
    <w:rsid w:val="003F3DA9"/>
    <w:rsid w:val="003F4B7E"/>
    <w:rsid w:val="003F7332"/>
    <w:rsid w:val="00401648"/>
    <w:rsid w:val="004030AA"/>
    <w:rsid w:val="004033B6"/>
    <w:rsid w:val="00403AA6"/>
    <w:rsid w:val="00404607"/>
    <w:rsid w:val="004055E7"/>
    <w:rsid w:val="00407569"/>
    <w:rsid w:val="00407792"/>
    <w:rsid w:val="00413390"/>
    <w:rsid w:val="00415D2F"/>
    <w:rsid w:val="004168BC"/>
    <w:rsid w:val="0041690A"/>
    <w:rsid w:val="004170AB"/>
    <w:rsid w:val="004171B4"/>
    <w:rsid w:val="00420A03"/>
    <w:rsid w:val="00420EFD"/>
    <w:rsid w:val="00421085"/>
    <w:rsid w:val="0042150E"/>
    <w:rsid w:val="004221F4"/>
    <w:rsid w:val="00422E8A"/>
    <w:rsid w:val="004259FC"/>
    <w:rsid w:val="00425B30"/>
    <w:rsid w:val="004270A8"/>
    <w:rsid w:val="00430498"/>
    <w:rsid w:val="00430D88"/>
    <w:rsid w:val="00430F19"/>
    <w:rsid w:val="0043101D"/>
    <w:rsid w:val="004326F7"/>
    <w:rsid w:val="004327B9"/>
    <w:rsid w:val="00432947"/>
    <w:rsid w:val="00432C8F"/>
    <w:rsid w:val="00433D77"/>
    <w:rsid w:val="004345FD"/>
    <w:rsid w:val="00434670"/>
    <w:rsid w:val="00434B89"/>
    <w:rsid w:val="004358AA"/>
    <w:rsid w:val="00436267"/>
    <w:rsid w:val="00436281"/>
    <w:rsid w:val="00436903"/>
    <w:rsid w:val="00437FB9"/>
    <w:rsid w:val="004400D6"/>
    <w:rsid w:val="0044060E"/>
    <w:rsid w:val="00440878"/>
    <w:rsid w:val="00440E62"/>
    <w:rsid w:val="004410B0"/>
    <w:rsid w:val="00441F10"/>
    <w:rsid w:val="00443836"/>
    <w:rsid w:val="00444DC1"/>
    <w:rsid w:val="00445639"/>
    <w:rsid w:val="004478DF"/>
    <w:rsid w:val="00447B7C"/>
    <w:rsid w:val="00451017"/>
    <w:rsid w:val="004510AF"/>
    <w:rsid w:val="00451F18"/>
    <w:rsid w:val="004522A0"/>
    <w:rsid w:val="00452686"/>
    <w:rsid w:val="0045271F"/>
    <w:rsid w:val="0045401C"/>
    <w:rsid w:val="00454124"/>
    <w:rsid w:val="004548F6"/>
    <w:rsid w:val="004552DA"/>
    <w:rsid w:val="0045574F"/>
    <w:rsid w:val="0045625D"/>
    <w:rsid w:val="00456DD3"/>
    <w:rsid w:val="00457339"/>
    <w:rsid w:val="0045786F"/>
    <w:rsid w:val="00460BBD"/>
    <w:rsid w:val="00460CAB"/>
    <w:rsid w:val="004615B8"/>
    <w:rsid w:val="00461F8C"/>
    <w:rsid w:val="00462075"/>
    <w:rsid w:val="00462149"/>
    <w:rsid w:val="00464538"/>
    <w:rsid w:val="004649A8"/>
    <w:rsid w:val="00465952"/>
    <w:rsid w:val="00466F5E"/>
    <w:rsid w:val="0046720E"/>
    <w:rsid w:val="00470050"/>
    <w:rsid w:val="004712DA"/>
    <w:rsid w:val="00471445"/>
    <w:rsid w:val="00471F59"/>
    <w:rsid w:val="00472D41"/>
    <w:rsid w:val="0047359D"/>
    <w:rsid w:val="00473A7C"/>
    <w:rsid w:val="00473E11"/>
    <w:rsid w:val="00474AE7"/>
    <w:rsid w:val="00474DC7"/>
    <w:rsid w:val="00480AE2"/>
    <w:rsid w:val="00480E6B"/>
    <w:rsid w:val="00481389"/>
    <w:rsid w:val="004816CD"/>
    <w:rsid w:val="00482EFF"/>
    <w:rsid w:val="0048365F"/>
    <w:rsid w:val="00484388"/>
    <w:rsid w:val="00484392"/>
    <w:rsid w:val="00484DB9"/>
    <w:rsid w:val="00486FDA"/>
    <w:rsid w:val="0048785F"/>
    <w:rsid w:val="004903B3"/>
    <w:rsid w:val="00490DFA"/>
    <w:rsid w:val="00491133"/>
    <w:rsid w:val="00493B7E"/>
    <w:rsid w:val="00493C94"/>
    <w:rsid w:val="00494891"/>
    <w:rsid w:val="00495A8A"/>
    <w:rsid w:val="00495B6A"/>
    <w:rsid w:val="004961BF"/>
    <w:rsid w:val="0049653C"/>
    <w:rsid w:val="004A0E59"/>
    <w:rsid w:val="004A11D9"/>
    <w:rsid w:val="004A25DB"/>
    <w:rsid w:val="004A270A"/>
    <w:rsid w:val="004A29DD"/>
    <w:rsid w:val="004A2CED"/>
    <w:rsid w:val="004A3F59"/>
    <w:rsid w:val="004A5454"/>
    <w:rsid w:val="004A546B"/>
    <w:rsid w:val="004A56ED"/>
    <w:rsid w:val="004A7081"/>
    <w:rsid w:val="004B0688"/>
    <w:rsid w:val="004B0857"/>
    <w:rsid w:val="004B0B42"/>
    <w:rsid w:val="004B1441"/>
    <w:rsid w:val="004B192D"/>
    <w:rsid w:val="004B1A65"/>
    <w:rsid w:val="004B233F"/>
    <w:rsid w:val="004B2AC4"/>
    <w:rsid w:val="004B345B"/>
    <w:rsid w:val="004B3C65"/>
    <w:rsid w:val="004B4188"/>
    <w:rsid w:val="004B5638"/>
    <w:rsid w:val="004B5F49"/>
    <w:rsid w:val="004B6A70"/>
    <w:rsid w:val="004B7278"/>
    <w:rsid w:val="004B7872"/>
    <w:rsid w:val="004C06C5"/>
    <w:rsid w:val="004C0F5D"/>
    <w:rsid w:val="004C20B6"/>
    <w:rsid w:val="004C2A3B"/>
    <w:rsid w:val="004C2EBA"/>
    <w:rsid w:val="004C3595"/>
    <w:rsid w:val="004C51A2"/>
    <w:rsid w:val="004C6167"/>
    <w:rsid w:val="004D0516"/>
    <w:rsid w:val="004D1012"/>
    <w:rsid w:val="004D34B3"/>
    <w:rsid w:val="004D46AF"/>
    <w:rsid w:val="004D51B8"/>
    <w:rsid w:val="004D63EE"/>
    <w:rsid w:val="004D6EBF"/>
    <w:rsid w:val="004D77D0"/>
    <w:rsid w:val="004D7810"/>
    <w:rsid w:val="004D7840"/>
    <w:rsid w:val="004D7ADE"/>
    <w:rsid w:val="004E171E"/>
    <w:rsid w:val="004E24FF"/>
    <w:rsid w:val="004E2CEA"/>
    <w:rsid w:val="004E30C4"/>
    <w:rsid w:val="004E53A1"/>
    <w:rsid w:val="004E60EC"/>
    <w:rsid w:val="004E620F"/>
    <w:rsid w:val="004E6D66"/>
    <w:rsid w:val="004E75BF"/>
    <w:rsid w:val="004F0201"/>
    <w:rsid w:val="004F026D"/>
    <w:rsid w:val="004F0FBD"/>
    <w:rsid w:val="004F2E25"/>
    <w:rsid w:val="004F3417"/>
    <w:rsid w:val="004F34E2"/>
    <w:rsid w:val="004F428D"/>
    <w:rsid w:val="004F46DB"/>
    <w:rsid w:val="004F4A65"/>
    <w:rsid w:val="004F5782"/>
    <w:rsid w:val="004F6B1C"/>
    <w:rsid w:val="004F6D90"/>
    <w:rsid w:val="005013B4"/>
    <w:rsid w:val="00501FE2"/>
    <w:rsid w:val="00502B0E"/>
    <w:rsid w:val="00503A20"/>
    <w:rsid w:val="005043AC"/>
    <w:rsid w:val="005048BB"/>
    <w:rsid w:val="0050608E"/>
    <w:rsid w:val="00506A46"/>
    <w:rsid w:val="00506C04"/>
    <w:rsid w:val="005104B9"/>
    <w:rsid w:val="00511E48"/>
    <w:rsid w:val="005128D0"/>
    <w:rsid w:val="00513978"/>
    <w:rsid w:val="00513D3D"/>
    <w:rsid w:val="0051714B"/>
    <w:rsid w:val="005173EA"/>
    <w:rsid w:val="00517BF6"/>
    <w:rsid w:val="005210E6"/>
    <w:rsid w:val="0052269C"/>
    <w:rsid w:val="00522800"/>
    <w:rsid w:val="00522929"/>
    <w:rsid w:val="0052345D"/>
    <w:rsid w:val="005248E3"/>
    <w:rsid w:val="00524AFA"/>
    <w:rsid w:val="00525960"/>
    <w:rsid w:val="00526022"/>
    <w:rsid w:val="005262CB"/>
    <w:rsid w:val="0052752D"/>
    <w:rsid w:val="005276CF"/>
    <w:rsid w:val="005307C6"/>
    <w:rsid w:val="005309B8"/>
    <w:rsid w:val="00530A19"/>
    <w:rsid w:val="0053151C"/>
    <w:rsid w:val="00533399"/>
    <w:rsid w:val="00533F25"/>
    <w:rsid w:val="00533FF6"/>
    <w:rsid w:val="00534014"/>
    <w:rsid w:val="0053432F"/>
    <w:rsid w:val="0053469F"/>
    <w:rsid w:val="00535A53"/>
    <w:rsid w:val="00535B51"/>
    <w:rsid w:val="00536D64"/>
    <w:rsid w:val="00536DF7"/>
    <w:rsid w:val="00537AC6"/>
    <w:rsid w:val="00537C6C"/>
    <w:rsid w:val="005400E5"/>
    <w:rsid w:val="00543ABF"/>
    <w:rsid w:val="00543B40"/>
    <w:rsid w:val="00543F7D"/>
    <w:rsid w:val="0054618D"/>
    <w:rsid w:val="00546F36"/>
    <w:rsid w:val="00547031"/>
    <w:rsid w:val="0055122F"/>
    <w:rsid w:val="00551967"/>
    <w:rsid w:val="00551FA7"/>
    <w:rsid w:val="00552106"/>
    <w:rsid w:val="005544F6"/>
    <w:rsid w:val="00554D70"/>
    <w:rsid w:val="0055524A"/>
    <w:rsid w:val="005562C9"/>
    <w:rsid w:val="00556366"/>
    <w:rsid w:val="00556A93"/>
    <w:rsid w:val="00556AD0"/>
    <w:rsid w:val="00556C35"/>
    <w:rsid w:val="005600D2"/>
    <w:rsid w:val="005619A4"/>
    <w:rsid w:val="00562029"/>
    <w:rsid w:val="00563867"/>
    <w:rsid w:val="00563FC2"/>
    <w:rsid w:val="00564987"/>
    <w:rsid w:val="00564B63"/>
    <w:rsid w:val="005658E1"/>
    <w:rsid w:val="00565E32"/>
    <w:rsid w:val="00565E6A"/>
    <w:rsid w:val="00566DBD"/>
    <w:rsid w:val="00566FEE"/>
    <w:rsid w:val="005672C4"/>
    <w:rsid w:val="00567A96"/>
    <w:rsid w:val="00570522"/>
    <w:rsid w:val="0057054C"/>
    <w:rsid w:val="00570FF4"/>
    <w:rsid w:val="0057250C"/>
    <w:rsid w:val="00572692"/>
    <w:rsid w:val="005736E9"/>
    <w:rsid w:val="005739CE"/>
    <w:rsid w:val="00573A4D"/>
    <w:rsid w:val="00573D49"/>
    <w:rsid w:val="005753E8"/>
    <w:rsid w:val="00575E03"/>
    <w:rsid w:val="00576FB5"/>
    <w:rsid w:val="00577D1C"/>
    <w:rsid w:val="00577E3A"/>
    <w:rsid w:val="00577EA4"/>
    <w:rsid w:val="0058005A"/>
    <w:rsid w:val="0058156F"/>
    <w:rsid w:val="00581A93"/>
    <w:rsid w:val="005827BB"/>
    <w:rsid w:val="00583A61"/>
    <w:rsid w:val="00584771"/>
    <w:rsid w:val="00587B88"/>
    <w:rsid w:val="00590DA2"/>
    <w:rsid w:val="00590E03"/>
    <w:rsid w:val="00591773"/>
    <w:rsid w:val="00591C68"/>
    <w:rsid w:val="005928D4"/>
    <w:rsid w:val="0059303F"/>
    <w:rsid w:val="005943A4"/>
    <w:rsid w:val="0059502A"/>
    <w:rsid w:val="005950C0"/>
    <w:rsid w:val="00595634"/>
    <w:rsid w:val="00595FF5"/>
    <w:rsid w:val="00597043"/>
    <w:rsid w:val="00597101"/>
    <w:rsid w:val="005975A7"/>
    <w:rsid w:val="00597A10"/>
    <w:rsid w:val="005A3011"/>
    <w:rsid w:val="005A4A02"/>
    <w:rsid w:val="005A54FE"/>
    <w:rsid w:val="005A5514"/>
    <w:rsid w:val="005A599B"/>
    <w:rsid w:val="005A6322"/>
    <w:rsid w:val="005A6AA2"/>
    <w:rsid w:val="005B06EE"/>
    <w:rsid w:val="005B117F"/>
    <w:rsid w:val="005B18AB"/>
    <w:rsid w:val="005B24DE"/>
    <w:rsid w:val="005B3690"/>
    <w:rsid w:val="005B3C39"/>
    <w:rsid w:val="005B623B"/>
    <w:rsid w:val="005B7D97"/>
    <w:rsid w:val="005C0F2D"/>
    <w:rsid w:val="005C100E"/>
    <w:rsid w:val="005C2C4C"/>
    <w:rsid w:val="005C3ADD"/>
    <w:rsid w:val="005C441F"/>
    <w:rsid w:val="005C4F2A"/>
    <w:rsid w:val="005C632C"/>
    <w:rsid w:val="005C7778"/>
    <w:rsid w:val="005D0274"/>
    <w:rsid w:val="005D0625"/>
    <w:rsid w:val="005D2ED7"/>
    <w:rsid w:val="005D31FC"/>
    <w:rsid w:val="005D391B"/>
    <w:rsid w:val="005D4B27"/>
    <w:rsid w:val="005D6E14"/>
    <w:rsid w:val="005D70A6"/>
    <w:rsid w:val="005D73B0"/>
    <w:rsid w:val="005D7528"/>
    <w:rsid w:val="005E133D"/>
    <w:rsid w:val="005E1451"/>
    <w:rsid w:val="005E1585"/>
    <w:rsid w:val="005E2180"/>
    <w:rsid w:val="005E2336"/>
    <w:rsid w:val="005E32D1"/>
    <w:rsid w:val="005E4907"/>
    <w:rsid w:val="005E6022"/>
    <w:rsid w:val="005E6E98"/>
    <w:rsid w:val="005E6F16"/>
    <w:rsid w:val="005E7593"/>
    <w:rsid w:val="005E760B"/>
    <w:rsid w:val="005E7D42"/>
    <w:rsid w:val="005F13A2"/>
    <w:rsid w:val="005F1657"/>
    <w:rsid w:val="005F24D0"/>
    <w:rsid w:val="005F2839"/>
    <w:rsid w:val="005F45C6"/>
    <w:rsid w:val="005F710C"/>
    <w:rsid w:val="005F7318"/>
    <w:rsid w:val="005F7BB0"/>
    <w:rsid w:val="005F7C54"/>
    <w:rsid w:val="0060042D"/>
    <w:rsid w:val="006012C2"/>
    <w:rsid w:val="00602697"/>
    <w:rsid w:val="006029D2"/>
    <w:rsid w:val="006034B0"/>
    <w:rsid w:val="00603984"/>
    <w:rsid w:val="00603E35"/>
    <w:rsid w:val="00604F3A"/>
    <w:rsid w:val="00606222"/>
    <w:rsid w:val="006069C7"/>
    <w:rsid w:val="00606CA2"/>
    <w:rsid w:val="006071DC"/>
    <w:rsid w:val="00610D28"/>
    <w:rsid w:val="00610DEB"/>
    <w:rsid w:val="00610E32"/>
    <w:rsid w:val="006119BD"/>
    <w:rsid w:val="00611E99"/>
    <w:rsid w:val="00613059"/>
    <w:rsid w:val="00613218"/>
    <w:rsid w:val="0061392F"/>
    <w:rsid w:val="006141D9"/>
    <w:rsid w:val="006144F0"/>
    <w:rsid w:val="00614614"/>
    <w:rsid w:val="006155C5"/>
    <w:rsid w:val="00616B0F"/>
    <w:rsid w:val="00617356"/>
    <w:rsid w:val="00617AA2"/>
    <w:rsid w:val="00621680"/>
    <w:rsid w:val="00623694"/>
    <w:rsid w:val="00624BD9"/>
    <w:rsid w:val="006256F8"/>
    <w:rsid w:val="00625FDE"/>
    <w:rsid w:val="00627A80"/>
    <w:rsid w:val="00630439"/>
    <w:rsid w:val="006307CD"/>
    <w:rsid w:val="006309F5"/>
    <w:rsid w:val="00630C7F"/>
    <w:rsid w:val="00631593"/>
    <w:rsid w:val="00631B79"/>
    <w:rsid w:val="006321EE"/>
    <w:rsid w:val="006323C2"/>
    <w:rsid w:val="00636409"/>
    <w:rsid w:val="00636784"/>
    <w:rsid w:val="00636992"/>
    <w:rsid w:val="00636FBB"/>
    <w:rsid w:val="00637112"/>
    <w:rsid w:val="00637535"/>
    <w:rsid w:val="0064007D"/>
    <w:rsid w:val="006401BE"/>
    <w:rsid w:val="006402DA"/>
    <w:rsid w:val="00640D11"/>
    <w:rsid w:val="00641957"/>
    <w:rsid w:val="006429C8"/>
    <w:rsid w:val="00642CA1"/>
    <w:rsid w:val="00642CC5"/>
    <w:rsid w:val="00644AEA"/>
    <w:rsid w:val="0064527C"/>
    <w:rsid w:val="00645405"/>
    <w:rsid w:val="006465A1"/>
    <w:rsid w:val="006471CE"/>
    <w:rsid w:val="006476CF"/>
    <w:rsid w:val="00650018"/>
    <w:rsid w:val="00650849"/>
    <w:rsid w:val="00650B0E"/>
    <w:rsid w:val="00650BFF"/>
    <w:rsid w:val="0065112D"/>
    <w:rsid w:val="00652619"/>
    <w:rsid w:val="00652ADB"/>
    <w:rsid w:val="00652D0C"/>
    <w:rsid w:val="00653404"/>
    <w:rsid w:val="00653732"/>
    <w:rsid w:val="006537AA"/>
    <w:rsid w:val="00654093"/>
    <w:rsid w:val="006544FA"/>
    <w:rsid w:val="00655397"/>
    <w:rsid w:val="00655D86"/>
    <w:rsid w:val="006569E6"/>
    <w:rsid w:val="006610EE"/>
    <w:rsid w:val="0066114F"/>
    <w:rsid w:val="00663242"/>
    <w:rsid w:val="006640A4"/>
    <w:rsid w:val="006649DA"/>
    <w:rsid w:val="00664C2F"/>
    <w:rsid w:val="00665791"/>
    <w:rsid w:val="00667083"/>
    <w:rsid w:val="00667220"/>
    <w:rsid w:val="00667318"/>
    <w:rsid w:val="0066740D"/>
    <w:rsid w:val="006708B1"/>
    <w:rsid w:val="00671E6B"/>
    <w:rsid w:val="00672536"/>
    <w:rsid w:val="00672538"/>
    <w:rsid w:val="006736D9"/>
    <w:rsid w:val="006740DA"/>
    <w:rsid w:val="006741B3"/>
    <w:rsid w:val="006750CB"/>
    <w:rsid w:val="00675939"/>
    <w:rsid w:val="00676064"/>
    <w:rsid w:val="00676472"/>
    <w:rsid w:val="00680B20"/>
    <w:rsid w:val="00683897"/>
    <w:rsid w:val="006868FB"/>
    <w:rsid w:val="00686C7A"/>
    <w:rsid w:val="006871FA"/>
    <w:rsid w:val="006872ED"/>
    <w:rsid w:val="0068740B"/>
    <w:rsid w:val="00687BCE"/>
    <w:rsid w:val="00687DCB"/>
    <w:rsid w:val="006911DD"/>
    <w:rsid w:val="0069170C"/>
    <w:rsid w:val="00692298"/>
    <w:rsid w:val="0069296A"/>
    <w:rsid w:val="00695D6B"/>
    <w:rsid w:val="00696290"/>
    <w:rsid w:val="00696496"/>
    <w:rsid w:val="006969CC"/>
    <w:rsid w:val="00697F9D"/>
    <w:rsid w:val="006A1057"/>
    <w:rsid w:val="006A2C6D"/>
    <w:rsid w:val="006A2F98"/>
    <w:rsid w:val="006A2FF2"/>
    <w:rsid w:val="006A450C"/>
    <w:rsid w:val="006A4D32"/>
    <w:rsid w:val="006A505B"/>
    <w:rsid w:val="006A5564"/>
    <w:rsid w:val="006A5A7E"/>
    <w:rsid w:val="006A7008"/>
    <w:rsid w:val="006A706E"/>
    <w:rsid w:val="006A79CD"/>
    <w:rsid w:val="006B0F22"/>
    <w:rsid w:val="006B0F57"/>
    <w:rsid w:val="006B0FE9"/>
    <w:rsid w:val="006B11C4"/>
    <w:rsid w:val="006B274D"/>
    <w:rsid w:val="006B4E20"/>
    <w:rsid w:val="006B5022"/>
    <w:rsid w:val="006B5065"/>
    <w:rsid w:val="006B582C"/>
    <w:rsid w:val="006B690F"/>
    <w:rsid w:val="006B709C"/>
    <w:rsid w:val="006B7E30"/>
    <w:rsid w:val="006B7E84"/>
    <w:rsid w:val="006B7F53"/>
    <w:rsid w:val="006B7FC7"/>
    <w:rsid w:val="006C02F7"/>
    <w:rsid w:val="006C098C"/>
    <w:rsid w:val="006C09D0"/>
    <w:rsid w:val="006C0A02"/>
    <w:rsid w:val="006C0A65"/>
    <w:rsid w:val="006C0B7D"/>
    <w:rsid w:val="006C1828"/>
    <w:rsid w:val="006C2B53"/>
    <w:rsid w:val="006C367F"/>
    <w:rsid w:val="006C36B6"/>
    <w:rsid w:val="006C4DB5"/>
    <w:rsid w:val="006C5583"/>
    <w:rsid w:val="006C5762"/>
    <w:rsid w:val="006C5807"/>
    <w:rsid w:val="006C5A47"/>
    <w:rsid w:val="006C5ED4"/>
    <w:rsid w:val="006C6242"/>
    <w:rsid w:val="006D0D6B"/>
    <w:rsid w:val="006D1980"/>
    <w:rsid w:val="006D1A64"/>
    <w:rsid w:val="006D1D29"/>
    <w:rsid w:val="006D1E63"/>
    <w:rsid w:val="006D2260"/>
    <w:rsid w:val="006D3C7B"/>
    <w:rsid w:val="006D4206"/>
    <w:rsid w:val="006D453F"/>
    <w:rsid w:val="006D47A3"/>
    <w:rsid w:val="006D5F3A"/>
    <w:rsid w:val="006D6AA9"/>
    <w:rsid w:val="006D7024"/>
    <w:rsid w:val="006D77B3"/>
    <w:rsid w:val="006E0069"/>
    <w:rsid w:val="006E01BD"/>
    <w:rsid w:val="006E1244"/>
    <w:rsid w:val="006E17DA"/>
    <w:rsid w:val="006E360C"/>
    <w:rsid w:val="006E3AD9"/>
    <w:rsid w:val="006E4A44"/>
    <w:rsid w:val="006E4C9D"/>
    <w:rsid w:val="006E4F38"/>
    <w:rsid w:val="006E5D0F"/>
    <w:rsid w:val="006E6565"/>
    <w:rsid w:val="006E65A2"/>
    <w:rsid w:val="006E6A4A"/>
    <w:rsid w:val="006E7C79"/>
    <w:rsid w:val="006F09DA"/>
    <w:rsid w:val="006F0AB8"/>
    <w:rsid w:val="006F11E3"/>
    <w:rsid w:val="006F2446"/>
    <w:rsid w:val="006F2A6A"/>
    <w:rsid w:val="006F2D70"/>
    <w:rsid w:val="006F3086"/>
    <w:rsid w:val="006F31E9"/>
    <w:rsid w:val="006F3C10"/>
    <w:rsid w:val="006F7CC1"/>
    <w:rsid w:val="00704727"/>
    <w:rsid w:val="00704D40"/>
    <w:rsid w:val="0070545A"/>
    <w:rsid w:val="0070581C"/>
    <w:rsid w:val="00705B3F"/>
    <w:rsid w:val="00705CF7"/>
    <w:rsid w:val="00706728"/>
    <w:rsid w:val="00706912"/>
    <w:rsid w:val="007077C7"/>
    <w:rsid w:val="0070794F"/>
    <w:rsid w:val="00707DBA"/>
    <w:rsid w:val="00707DF4"/>
    <w:rsid w:val="00707F99"/>
    <w:rsid w:val="00707FD8"/>
    <w:rsid w:val="00711565"/>
    <w:rsid w:val="00711F94"/>
    <w:rsid w:val="00712A49"/>
    <w:rsid w:val="00712F94"/>
    <w:rsid w:val="0071415B"/>
    <w:rsid w:val="007142BD"/>
    <w:rsid w:val="00715A9C"/>
    <w:rsid w:val="00716173"/>
    <w:rsid w:val="007165EF"/>
    <w:rsid w:val="00717AAE"/>
    <w:rsid w:val="007240E4"/>
    <w:rsid w:val="00724AA0"/>
    <w:rsid w:val="00725521"/>
    <w:rsid w:val="0072566D"/>
    <w:rsid w:val="007264AE"/>
    <w:rsid w:val="00726BFE"/>
    <w:rsid w:val="007275DA"/>
    <w:rsid w:val="00727A1C"/>
    <w:rsid w:val="00730D6A"/>
    <w:rsid w:val="00732494"/>
    <w:rsid w:val="0073360D"/>
    <w:rsid w:val="00734743"/>
    <w:rsid w:val="00734BAC"/>
    <w:rsid w:val="0073577F"/>
    <w:rsid w:val="0073580E"/>
    <w:rsid w:val="00735AD5"/>
    <w:rsid w:val="0073726C"/>
    <w:rsid w:val="00740249"/>
    <w:rsid w:val="00740988"/>
    <w:rsid w:val="00740A83"/>
    <w:rsid w:val="00740FC4"/>
    <w:rsid w:val="00742451"/>
    <w:rsid w:val="00742EBE"/>
    <w:rsid w:val="00743C26"/>
    <w:rsid w:val="0074420A"/>
    <w:rsid w:val="00744694"/>
    <w:rsid w:val="0074484B"/>
    <w:rsid w:val="00744FE9"/>
    <w:rsid w:val="0074672C"/>
    <w:rsid w:val="00746DA5"/>
    <w:rsid w:val="0074788D"/>
    <w:rsid w:val="00747946"/>
    <w:rsid w:val="0075025C"/>
    <w:rsid w:val="007510A1"/>
    <w:rsid w:val="00751D5A"/>
    <w:rsid w:val="00752CAE"/>
    <w:rsid w:val="00752DD7"/>
    <w:rsid w:val="007533FD"/>
    <w:rsid w:val="0075394C"/>
    <w:rsid w:val="00753FAD"/>
    <w:rsid w:val="00754B7E"/>
    <w:rsid w:val="00755264"/>
    <w:rsid w:val="00755A92"/>
    <w:rsid w:val="00756264"/>
    <w:rsid w:val="007568B4"/>
    <w:rsid w:val="00757274"/>
    <w:rsid w:val="00757594"/>
    <w:rsid w:val="00757EAE"/>
    <w:rsid w:val="00760656"/>
    <w:rsid w:val="0076068B"/>
    <w:rsid w:val="007606D8"/>
    <w:rsid w:val="007608BD"/>
    <w:rsid w:val="00760F65"/>
    <w:rsid w:val="00760FBC"/>
    <w:rsid w:val="007612A5"/>
    <w:rsid w:val="0076199C"/>
    <w:rsid w:val="00761C47"/>
    <w:rsid w:val="00762090"/>
    <w:rsid w:val="00762C5A"/>
    <w:rsid w:val="007632E7"/>
    <w:rsid w:val="007635B5"/>
    <w:rsid w:val="00764E09"/>
    <w:rsid w:val="00764F62"/>
    <w:rsid w:val="00764FF9"/>
    <w:rsid w:val="00765597"/>
    <w:rsid w:val="007664FA"/>
    <w:rsid w:val="00767FD1"/>
    <w:rsid w:val="0077027E"/>
    <w:rsid w:val="00771310"/>
    <w:rsid w:val="00771987"/>
    <w:rsid w:val="00771A7D"/>
    <w:rsid w:val="00772B7E"/>
    <w:rsid w:val="00774813"/>
    <w:rsid w:val="007759DD"/>
    <w:rsid w:val="00775FD6"/>
    <w:rsid w:val="007771EA"/>
    <w:rsid w:val="00780656"/>
    <w:rsid w:val="007807FA"/>
    <w:rsid w:val="0078134A"/>
    <w:rsid w:val="00781E7A"/>
    <w:rsid w:val="00782A86"/>
    <w:rsid w:val="00782D7C"/>
    <w:rsid w:val="00784E8C"/>
    <w:rsid w:val="00785744"/>
    <w:rsid w:val="007858EA"/>
    <w:rsid w:val="007867D7"/>
    <w:rsid w:val="00786C97"/>
    <w:rsid w:val="00790014"/>
    <w:rsid w:val="0079005E"/>
    <w:rsid w:val="00791260"/>
    <w:rsid w:val="00793E00"/>
    <w:rsid w:val="007950FB"/>
    <w:rsid w:val="00795D07"/>
    <w:rsid w:val="00795E1E"/>
    <w:rsid w:val="0079647F"/>
    <w:rsid w:val="007964BD"/>
    <w:rsid w:val="00796C18"/>
    <w:rsid w:val="00797782"/>
    <w:rsid w:val="00797D39"/>
    <w:rsid w:val="007A10F0"/>
    <w:rsid w:val="007A1560"/>
    <w:rsid w:val="007A196E"/>
    <w:rsid w:val="007A3472"/>
    <w:rsid w:val="007A42C0"/>
    <w:rsid w:val="007A5CBF"/>
    <w:rsid w:val="007A61A1"/>
    <w:rsid w:val="007B077E"/>
    <w:rsid w:val="007B0E8C"/>
    <w:rsid w:val="007B1638"/>
    <w:rsid w:val="007B1A70"/>
    <w:rsid w:val="007B1CCE"/>
    <w:rsid w:val="007B206D"/>
    <w:rsid w:val="007B2F0B"/>
    <w:rsid w:val="007B3E47"/>
    <w:rsid w:val="007B4AB2"/>
    <w:rsid w:val="007B4C3E"/>
    <w:rsid w:val="007B5FD1"/>
    <w:rsid w:val="007B62F2"/>
    <w:rsid w:val="007B6A6F"/>
    <w:rsid w:val="007B7C18"/>
    <w:rsid w:val="007C1636"/>
    <w:rsid w:val="007C2C92"/>
    <w:rsid w:val="007C658F"/>
    <w:rsid w:val="007C66C2"/>
    <w:rsid w:val="007C6DEF"/>
    <w:rsid w:val="007D040B"/>
    <w:rsid w:val="007D0811"/>
    <w:rsid w:val="007D0F90"/>
    <w:rsid w:val="007D1280"/>
    <w:rsid w:val="007D24E9"/>
    <w:rsid w:val="007D295C"/>
    <w:rsid w:val="007D2C32"/>
    <w:rsid w:val="007D3E6C"/>
    <w:rsid w:val="007D433D"/>
    <w:rsid w:val="007D444D"/>
    <w:rsid w:val="007D4FC3"/>
    <w:rsid w:val="007D5FD2"/>
    <w:rsid w:val="007D6EE0"/>
    <w:rsid w:val="007D70F4"/>
    <w:rsid w:val="007D7B09"/>
    <w:rsid w:val="007D7E89"/>
    <w:rsid w:val="007E02AF"/>
    <w:rsid w:val="007E122D"/>
    <w:rsid w:val="007E21E0"/>
    <w:rsid w:val="007E295A"/>
    <w:rsid w:val="007E2B13"/>
    <w:rsid w:val="007E3157"/>
    <w:rsid w:val="007E441B"/>
    <w:rsid w:val="007E4B7F"/>
    <w:rsid w:val="007E6263"/>
    <w:rsid w:val="007E64BC"/>
    <w:rsid w:val="007E6782"/>
    <w:rsid w:val="007E7FA6"/>
    <w:rsid w:val="007F08A9"/>
    <w:rsid w:val="007F1DB8"/>
    <w:rsid w:val="007F220B"/>
    <w:rsid w:val="007F242C"/>
    <w:rsid w:val="007F7BA3"/>
    <w:rsid w:val="008009E6"/>
    <w:rsid w:val="008010B3"/>
    <w:rsid w:val="00801368"/>
    <w:rsid w:val="00801974"/>
    <w:rsid w:val="00802091"/>
    <w:rsid w:val="00803374"/>
    <w:rsid w:val="0080338D"/>
    <w:rsid w:val="0080547B"/>
    <w:rsid w:val="00806664"/>
    <w:rsid w:val="00806835"/>
    <w:rsid w:val="00806865"/>
    <w:rsid w:val="00807818"/>
    <w:rsid w:val="00807D6C"/>
    <w:rsid w:val="00810001"/>
    <w:rsid w:val="00811CAE"/>
    <w:rsid w:val="00811CDB"/>
    <w:rsid w:val="00812C81"/>
    <w:rsid w:val="00813F9A"/>
    <w:rsid w:val="008144C5"/>
    <w:rsid w:val="0081488C"/>
    <w:rsid w:val="00814AF4"/>
    <w:rsid w:val="00815353"/>
    <w:rsid w:val="00815F14"/>
    <w:rsid w:val="00817540"/>
    <w:rsid w:val="00820795"/>
    <w:rsid w:val="00820DAE"/>
    <w:rsid w:val="00820E68"/>
    <w:rsid w:val="00821D34"/>
    <w:rsid w:val="008224D8"/>
    <w:rsid w:val="0082285E"/>
    <w:rsid w:val="0082293C"/>
    <w:rsid w:val="00822A55"/>
    <w:rsid w:val="00823414"/>
    <w:rsid w:val="008235D0"/>
    <w:rsid w:val="008236B2"/>
    <w:rsid w:val="00823C92"/>
    <w:rsid w:val="00823CE5"/>
    <w:rsid w:val="00825112"/>
    <w:rsid w:val="0082545B"/>
    <w:rsid w:val="00827EE6"/>
    <w:rsid w:val="008316C1"/>
    <w:rsid w:val="00831DD8"/>
    <w:rsid w:val="008335CE"/>
    <w:rsid w:val="0083391D"/>
    <w:rsid w:val="00834AFC"/>
    <w:rsid w:val="00834EF4"/>
    <w:rsid w:val="00835D2D"/>
    <w:rsid w:val="00836C81"/>
    <w:rsid w:val="00837FAF"/>
    <w:rsid w:val="008408B9"/>
    <w:rsid w:val="00840CBC"/>
    <w:rsid w:val="008411E7"/>
    <w:rsid w:val="00842096"/>
    <w:rsid w:val="00842A51"/>
    <w:rsid w:val="00843465"/>
    <w:rsid w:val="008437B7"/>
    <w:rsid w:val="00843B5B"/>
    <w:rsid w:val="00844927"/>
    <w:rsid w:val="008469DF"/>
    <w:rsid w:val="00846CEE"/>
    <w:rsid w:val="0085117A"/>
    <w:rsid w:val="008513E4"/>
    <w:rsid w:val="008521C4"/>
    <w:rsid w:val="00852322"/>
    <w:rsid w:val="00852362"/>
    <w:rsid w:val="0085362D"/>
    <w:rsid w:val="00853BBD"/>
    <w:rsid w:val="00853EF6"/>
    <w:rsid w:val="0085491B"/>
    <w:rsid w:val="008552FA"/>
    <w:rsid w:val="00855AB1"/>
    <w:rsid w:val="00855BD9"/>
    <w:rsid w:val="0085609A"/>
    <w:rsid w:val="0085642E"/>
    <w:rsid w:val="00857128"/>
    <w:rsid w:val="008578B0"/>
    <w:rsid w:val="00857B8E"/>
    <w:rsid w:val="008605BC"/>
    <w:rsid w:val="008608F0"/>
    <w:rsid w:val="00860ED9"/>
    <w:rsid w:val="0086137A"/>
    <w:rsid w:val="00861A59"/>
    <w:rsid w:val="0086252C"/>
    <w:rsid w:val="00862CFE"/>
    <w:rsid w:val="008638C2"/>
    <w:rsid w:val="00863F67"/>
    <w:rsid w:val="008643FB"/>
    <w:rsid w:val="008645B2"/>
    <w:rsid w:val="008651BD"/>
    <w:rsid w:val="0086589F"/>
    <w:rsid w:val="00871DE7"/>
    <w:rsid w:val="008722EA"/>
    <w:rsid w:val="00872FA5"/>
    <w:rsid w:val="008732AC"/>
    <w:rsid w:val="008742A6"/>
    <w:rsid w:val="008743A7"/>
    <w:rsid w:val="0087492C"/>
    <w:rsid w:val="00874E57"/>
    <w:rsid w:val="008751F8"/>
    <w:rsid w:val="0087601C"/>
    <w:rsid w:val="00876EB3"/>
    <w:rsid w:val="00876EC6"/>
    <w:rsid w:val="0087717F"/>
    <w:rsid w:val="00877567"/>
    <w:rsid w:val="00880465"/>
    <w:rsid w:val="00880C2F"/>
    <w:rsid w:val="00881D45"/>
    <w:rsid w:val="00881F4B"/>
    <w:rsid w:val="008822D6"/>
    <w:rsid w:val="008824DF"/>
    <w:rsid w:val="00882577"/>
    <w:rsid w:val="00883E5C"/>
    <w:rsid w:val="008852DC"/>
    <w:rsid w:val="00886046"/>
    <w:rsid w:val="00886075"/>
    <w:rsid w:val="008863E8"/>
    <w:rsid w:val="00886BD6"/>
    <w:rsid w:val="008902CB"/>
    <w:rsid w:val="00890483"/>
    <w:rsid w:val="00891041"/>
    <w:rsid w:val="0089164E"/>
    <w:rsid w:val="0089208B"/>
    <w:rsid w:val="00892501"/>
    <w:rsid w:val="00892888"/>
    <w:rsid w:val="00892E8F"/>
    <w:rsid w:val="00894BBA"/>
    <w:rsid w:val="00896BAD"/>
    <w:rsid w:val="00897601"/>
    <w:rsid w:val="008976A7"/>
    <w:rsid w:val="008A0849"/>
    <w:rsid w:val="008A213F"/>
    <w:rsid w:val="008A38E3"/>
    <w:rsid w:val="008A3D47"/>
    <w:rsid w:val="008A415B"/>
    <w:rsid w:val="008A5A2C"/>
    <w:rsid w:val="008A5DFF"/>
    <w:rsid w:val="008A6E49"/>
    <w:rsid w:val="008A6F6D"/>
    <w:rsid w:val="008A7145"/>
    <w:rsid w:val="008B02ED"/>
    <w:rsid w:val="008B0958"/>
    <w:rsid w:val="008B23DB"/>
    <w:rsid w:val="008B4AD6"/>
    <w:rsid w:val="008B4F1E"/>
    <w:rsid w:val="008B6974"/>
    <w:rsid w:val="008B6A16"/>
    <w:rsid w:val="008B74EF"/>
    <w:rsid w:val="008B751D"/>
    <w:rsid w:val="008B7655"/>
    <w:rsid w:val="008C00C4"/>
    <w:rsid w:val="008C0E34"/>
    <w:rsid w:val="008C3C8F"/>
    <w:rsid w:val="008C3EC4"/>
    <w:rsid w:val="008C57D3"/>
    <w:rsid w:val="008C62A6"/>
    <w:rsid w:val="008C77AB"/>
    <w:rsid w:val="008D0115"/>
    <w:rsid w:val="008D0138"/>
    <w:rsid w:val="008D1333"/>
    <w:rsid w:val="008D1F0E"/>
    <w:rsid w:val="008D2277"/>
    <w:rsid w:val="008D3FC4"/>
    <w:rsid w:val="008D458C"/>
    <w:rsid w:val="008D4CE6"/>
    <w:rsid w:val="008D4EB5"/>
    <w:rsid w:val="008D5E4D"/>
    <w:rsid w:val="008D771C"/>
    <w:rsid w:val="008E023F"/>
    <w:rsid w:val="008E1B90"/>
    <w:rsid w:val="008E1F02"/>
    <w:rsid w:val="008E2033"/>
    <w:rsid w:val="008E22CA"/>
    <w:rsid w:val="008E2416"/>
    <w:rsid w:val="008E279A"/>
    <w:rsid w:val="008E388C"/>
    <w:rsid w:val="008E3A82"/>
    <w:rsid w:val="008E42E5"/>
    <w:rsid w:val="008E6EA1"/>
    <w:rsid w:val="008E7418"/>
    <w:rsid w:val="008E7427"/>
    <w:rsid w:val="008E77BD"/>
    <w:rsid w:val="008E7C6D"/>
    <w:rsid w:val="008E7E7E"/>
    <w:rsid w:val="008F0C66"/>
    <w:rsid w:val="008F0DFC"/>
    <w:rsid w:val="008F0EED"/>
    <w:rsid w:val="008F1111"/>
    <w:rsid w:val="008F1A7E"/>
    <w:rsid w:val="008F1EB5"/>
    <w:rsid w:val="008F2267"/>
    <w:rsid w:val="008F2903"/>
    <w:rsid w:val="008F3BA0"/>
    <w:rsid w:val="008F4E03"/>
    <w:rsid w:val="008F669C"/>
    <w:rsid w:val="008F684E"/>
    <w:rsid w:val="008F68BE"/>
    <w:rsid w:val="008F78AA"/>
    <w:rsid w:val="008F7FF4"/>
    <w:rsid w:val="00902886"/>
    <w:rsid w:val="00903623"/>
    <w:rsid w:val="00903FF8"/>
    <w:rsid w:val="00904DD1"/>
    <w:rsid w:val="00907CD3"/>
    <w:rsid w:val="00907E1D"/>
    <w:rsid w:val="00910A4A"/>
    <w:rsid w:val="00910D59"/>
    <w:rsid w:val="00911C49"/>
    <w:rsid w:val="00912165"/>
    <w:rsid w:val="0091275F"/>
    <w:rsid w:val="009136BD"/>
    <w:rsid w:val="00917864"/>
    <w:rsid w:val="00917E8F"/>
    <w:rsid w:val="0092041D"/>
    <w:rsid w:val="0092197C"/>
    <w:rsid w:val="00922503"/>
    <w:rsid w:val="00922D15"/>
    <w:rsid w:val="00923413"/>
    <w:rsid w:val="00923BC1"/>
    <w:rsid w:val="00923F1B"/>
    <w:rsid w:val="00924462"/>
    <w:rsid w:val="00925098"/>
    <w:rsid w:val="00925CAB"/>
    <w:rsid w:val="0092649A"/>
    <w:rsid w:val="009265CE"/>
    <w:rsid w:val="00926D7F"/>
    <w:rsid w:val="00926F5D"/>
    <w:rsid w:val="00927B25"/>
    <w:rsid w:val="0093041D"/>
    <w:rsid w:val="00932802"/>
    <w:rsid w:val="00932825"/>
    <w:rsid w:val="00934673"/>
    <w:rsid w:val="009352C8"/>
    <w:rsid w:val="00935A45"/>
    <w:rsid w:val="00936041"/>
    <w:rsid w:val="00936876"/>
    <w:rsid w:val="0093694E"/>
    <w:rsid w:val="00936AA9"/>
    <w:rsid w:val="00937EAC"/>
    <w:rsid w:val="00940F00"/>
    <w:rsid w:val="0094256C"/>
    <w:rsid w:val="009437C0"/>
    <w:rsid w:val="00944B84"/>
    <w:rsid w:val="00944DFA"/>
    <w:rsid w:val="009456AD"/>
    <w:rsid w:val="009457F3"/>
    <w:rsid w:val="009468C1"/>
    <w:rsid w:val="009471AC"/>
    <w:rsid w:val="009503DA"/>
    <w:rsid w:val="009508D7"/>
    <w:rsid w:val="0095112C"/>
    <w:rsid w:val="009515BA"/>
    <w:rsid w:val="00951B1E"/>
    <w:rsid w:val="00952041"/>
    <w:rsid w:val="0095236D"/>
    <w:rsid w:val="009531A6"/>
    <w:rsid w:val="009551F2"/>
    <w:rsid w:val="00955514"/>
    <w:rsid w:val="00955745"/>
    <w:rsid w:val="0095574F"/>
    <w:rsid w:val="009561B2"/>
    <w:rsid w:val="009563CA"/>
    <w:rsid w:val="0095658C"/>
    <w:rsid w:val="00957769"/>
    <w:rsid w:val="009577C4"/>
    <w:rsid w:val="0096087C"/>
    <w:rsid w:val="00961604"/>
    <w:rsid w:val="009621A4"/>
    <w:rsid w:val="00962740"/>
    <w:rsid w:val="00962B83"/>
    <w:rsid w:val="009640AF"/>
    <w:rsid w:val="00964AA7"/>
    <w:rsid w:val="00964E2E"/>
    <w:rsid w:val="00965E3A"/>
    <w:rsid w:val="00967F2C"/>
    <w:rsid w:val="009700A6"/>
    <w:rsid w:val="00970A33"/>
    <w:rsid w:val="00971942"/>
    <w:rsid w:val="00971BDE"/>
    <w:rsid w:val="00972D74"/>
    <w:rsid w:val="009731C7"/>
    <w:rsid w:val="009755FA"/>
    <w:rsid w:val="00975EFF"/>
    <w:rsid w:val="0097678E"/>
    <w:rsid w:val="00976AA2"/>
    <w:rsid w:val="00976B63"/>
    <w:rsid w:val="00976F31"/>
    <w:rsid w:val="00977798"/>
    <w:rsid w:val="00977B6A"/>
    <w:rsid w:val="00981D43"/>
    <w:rsid w:val="009824DE"/>
    <w:rsid w:val="00982D97"/>
    <w:rsid w:val="009833CE"/>
    <w:rsid w:val="009839CD"/>
    <w:rsid w:val="00983DCE"/>
    <w:rsid w:val="00985C37"/>
    <w:rsid w:val="00986DC7"/>
    <w:rsid w:val="00987AE7"/>
    <w:rsid w:val="00990220"/>
    <w:rsid w:val="00991406"/>
    <w:rsid w:val="009914B4"/>
    <w:rsid w:val="00991C67"/>
    <w:rsid w:val="009928B2"/>
    <w:rsid w:val="009930FD"/>
    <w:rsid w:val="00993A93"/>
    <w:rsid w:val="00993AAC"/>
    <w:rsid w:val="00995449"/>
    <w:rsid w:val="0099655C"/>
    <w:rsid w:val="009966D1"/>
    <w:rsid w:val="00997985"/>
    <w:rsid w:val="00997EEE"/>
    <w:rsid w:val="009A12A4"/>
    <w:rsid w:val="009A2870"/>
    <w:rsid w:val="009A36F9"/>
    <w:rsid w:val="009A458C"/>
    <w:rsid w:val="009A6079"/>
    <w:rsid w:val="009A6D44"/>
    <w:rsid w:val="009A7C09"/>
    <w:rsid w:val="009A7F7B"/>
    <w:rsid w:val="009B0F18"/>
    <w:rsid w:val="009B1A01"/>
    <w:rsid w:val="009B27FE"/>
    <w:rsid w:val="009B29FB"/>
    <w:rsid w:val="009B2D0F"/>
    <w:rsid w:val="009B2DC4"/>
    <w:rsid w:val="009B2E7F"/>
    <w:rsid w:val="009B38E8"/>
    <w:rsid w:val="009B3E06"/>
    <w:rsid w:val="009B41EE"/>
    <w:rsid w:val="009B4399"/>
    <w:rsid w:val="009B503B"/>
    <w:rsid w:val="009B5B27"/>
    <w:rsid w:val="009B5BAE"/>
    <w:rsid w:val="009B5FB5"/>
    <w:rsid w:val="009B62CE"/>
    <w:rsid w:val="009B68A9"/>
    <w:rsid w:val="009B7050"/>
    <w:rsid w:val="009C06E9"/>
    <w:rsid w:val="009C288B"/>
    <w:rsid w:val="009C2ECF"/>
    <w:rsid w:val="009C34FC"/>
    <w:rsid w:val="009C3F41"/>
    <w:rsid w:val="009C43FE"/>
    <w:rsid w:val="009C5E7A"/>
    <w:rsid w:val="009C5E80"/>
    <w:rsid w:val="009C6A3C"/>
    <w:rsid w:val="009C707D"/>
    <w:rsid w:val="009D14DF"/>
    <w:rsid w:val="009D1B06"/>
    <w:rsid w:val="009D29D5"/>
    <w:rsid w:val="009D2D2A"/>
    <w:rsid w:val="009D4A62"/>
    <w:rsid w:val="009D54DD"/>
    <w:rsid w:val="009D57CE"/>
    <w:rsid w:val="009D5DC3"/>
    <w:rsid w:val="009D5E43"/>
    <w:rsid w:val="009D6409"/>
    <w:rsid w:val="009E04DB"/>
    <w:rsid w:val="009E07B9"/>
    <w:rsid w:val="009E107D"/>
    <w:rsid w:val="009E2554"/>
    <w:rsid w:val="009E2771"/>
    <w:rsid w:val="009E4D6C"/>
    <w:rsid w:val="009E50C5"/>
    <w:rsid w:val="009E5A4C"/>
    <w:rsid w:val="009E7E95"/>
    <w:rsid w:val="009F12B5"/>
    <w:rsid w:val="009F2038"/>
    <w:rsid w:val="009F243F"/>
    <w:rsid w:val="009F2C94"/>
    <w:rsid w:val="009F4E70"/>
    <w:rsid w:val="009F5FA2"/>
    <w:rsid w:val="009F6357"/>
    <w:rsid w:val="009F7DDF"/>
    <w:rsid w:val="00A01412"/>
    <w:rsid w:val="00A014E5"/>
    <w:rsid w:val="00A023F4"/>
    <w:rsid w:val="00A037F8"/>
    <w:rsid w:val="00A039D7"/>
    <w:rsid w:val="00A046D7"/>
    <w:rsid w:val="00A04A30"/>
    <w:rsid w:val="00A05015"/>
    <w:rsid w:val="00A054BB"/>
    <w:rsid w:val="00A06580"/>
    <w:rsid w:val="00A068E4"/>
    <w:rsid w:val="00A06FEA"/>
    <w:rsid w:val="00A10E55"/>
    <w:rsid w:val="00A117A6"/>
    <w:rsid w:val="00A12B8E"/>
    <w:rsid w:val="00A1333A"/>
    <w:rsid w:val="00A13731"/>
    <w:rsid w:val="00A142CB"/>
    <w:rsid w:val="00A1447D"/>
    <w:rsid w:val="00A1449A"/>
    <w:rsid w:val="00A20245"/>
    <w:rsid w:val="00A20296"/>
    <w:rsid w:val="00A20C12"/>
    <w:rsid w:val="00A20DA0"/>
    <w:rsid w:val="00A21020"/>
    <w:rsid w:val="00A2128F"/>
    <w:rsid w:val="00A2159D"/>
    <w:rsid w:val="00A21990"/>
    <w:rsid w:val="00A2257F"/>
    <w:rsid w:val="00A235E7"/>
    <w:rsid w:val="00A242B9"/>
    <w:rsid w:val="00A2442F"/>
    <w:rsid w:val="00A2460D"/>
    <w:rsid w:val="00A2648A"/>
    <w:rsid w:val="00A26673"/>
    <w:rsid w:val="00A26EEA"/>
    <w:rsid w:val="00A2761B"/>
    <w:rsid w:val="00A27C49"/>
    <w:rsid w:val="00A3037B"/>
    <w:rsid w:val="00A30C4B"/>
    <w:rsid w:val="00A32849"/>
    <w:rsid w:val="00A328BF"/>
    <w:rsid w:val="00A328F8"/>
    <w:rsid w:val="00A33165"/>
    <w:rsid w:val="00A3391F"/>
    <w:rsid w:val="00A33CB9"/>
    <w:rsid w:val="00A347E6"/>
    <w:rsid w:val="00A3560F"/>
    <w:rsid w:val="00A3565E"/>
    <w:rsid w:val="00A35F2C"/>
    <w:rsid w:val="00A37236"/>
    <w:rsid w:val="00A372EC"/>
    <w:rsid w:val="00A409A2"/>
    <w:rsid w:val="00A40F93"/>
    <w:rsid w:val="00A43384"/>
    <w:rsid w:val="00A4399B"/>
    <w:rsid w:val="00A43BEF"/>
    <w:rsid w:val="00A44DE0"/>
    <w:rsid w:val="00A44F7C"/>
    <w:rsid w:val="00A44FC4"/>
    <w:rsid w:val="00A457B2"/>
    <w:rsid w:val="00A47E0E"/>
    <w:rsid w:val="00A51B91"/>
    <w:rsid w:val="00A520B8"/>
    <w:rsid w:val="00A523BB"/>
    <w:rsid w:val="00A52C28"/>
    <w:rsid w:val="00A5412D"/>
    <w:rsid w:val="00A54480"/>
    <w:rsid w:val="00A54DB0"/>
    <w:rsid w:val="00A567B9"/>
    <w:rsid w:val="00A567FB"/>
    <w:rsid w:val="00A56863"/>
    <w:rsid w:val="00A60579"/>
    <w:rsid w:val="00A60D74"/>
    <w:rsid w:val="00A62376"/>
    <w:rsid w:val="00A627C4"/>
    <w:rsid w:val="00A63901"/>
    <w:rsid w:val="00A64283"/>
    <w:rsid w:val="00A64EC3"/>
    <w:rsid w:val="00A66D6A"/>
    <w:rsid w:val="00A677E8"/>
    <w:rsid w:val="00A67974"/>
    <w:rsid w:val="00A70AFD"/>
    <w:rsid w:val="00A7205D"/>
    <w:rsid w:val="00A7241F"/>
    <w:rsid w:val="00A72533"/>
    <w:rsid w:val="00A72ACB"/>
    <w:rsid w:val="00A731EF"/>
    <w:rsid w:val="00A73473"/>
    <w:rsid w:val="00A74948"/>
    <w:rsid w:val="00A74FA1"/>
    <w:rsid w:val="00A75174"/>
    <w:rsid w:val="00A767C1"/>
    <w:rsid w:val="00A773BF"/>
    <w:rsid w:val="00A82415"/>
    <w:rsid w:val="00A82577"/>
    <w:rsid w:val="00A82F00"/>
    <w:rsid w:val="00A832AD"/>
    <w:rsid w:val="00A834EC"/>
    <w:rsid w:val="00A83596"/>
    <w:rsid w:val="00A8387F"/>
    <w:rsid w:val="00A8475E"/>
    <w:rsid w:val="00A85069"/>
    <w:rsid w:val="00A8551B"/>
    <w:rsid w:val="00A8586A"/>
    <w:rsid w:val="00A85BB6"/>
    <w:rsid w:val="00A86988"/>
    <w:rsid w:val="00A871DE"/>
    <w:rsid w:val="00A876E1"/>
    <w:rsid w:val="00A87741"/>
    <w:rsid w:val="00A8782B"/>
    <w:rsid w:val="00A90DF7"/>
    <w:rsid w:val="00A912E1"/>
    <w:rsid w:val="00A91AD0"/>
    <w:rsid w:val="00A91B29"/>
    <w:rsid w:val="00A92104"/>
    <w:rsid w:val="00A9216A"/>
    <w:rsid w:val="00A92210"/>
    <w:rsid w:val="00A92243"/>
    <w:rsid w:val="00A928D9"/>
    <w:rsid w:val="00A93994"/>
    <w:rsid w:val="00A93F7E"/>
    <w:rsid w:val="00A94C3E"/>
    <w:rsid w:val="00A94E51"/>
    <w:rsid w:val="00A963AE"/>
    <w:rsid w:val="00A97077"/>
    <w:rsid w:val="00A978D8"/>
    <w:rsid w:val="00A97DFE"/>
    <w:rsid w:val="00AA1754"/>
    <w:rsid w:val="00AA1D1F"/>
    <w:rsid w:val="00AA203B"/>
    <w:rsid w:val="00AA4252"/>
    <w:rsid w:val="00AA4CBD"/>
    <w:rsid w:val="00AA4DDD"/>
    <w:rsid w:val="00AA59DE"/>
    <w:rsid w:val="00AA6DC7"/>
    <w:rsid w:val="00AA6ED5"/>
    <w:rsid w:val="00AA71C1"/>
    <w:rsid w:val="00AA7CDC"/>
    <w:rsid w:val="00AB014B"/>
    <w:rsid w:val="00AB02E4"/>
    <w:rsid w:val="00AB0417"/>
    <w:rsid w:val="00AB1B62"/>
    <w:rsid w:val="00AB252F"/>
    <w:rsid w:val="00AB36A9"/>
    <w:rsid w:val="00AB37AB"/>
    <w:rsid w:val="00AB6458"/>
    <w:rsid w:val="00AB79E1"/>
    <w:rsid w:val="00AB7FA3"/>
    <w:rsid w:val="00AC057C"/>
    <w:rsid w:val="00AC21DE"/>
    <w:rsid w:val="00AC3782"/>
    <w:rsid w:val="00AC694F"/>
    <w:rsid w:val="00AC724F"/>
    <w:rsid w:val="00AD0A89"/>
    <w:rsid w:val="00AD1261"/>
    <w:rsid w:val="00AD1556"/>
    <w:rsid w:val="00AD2955"/>
    <w:rsid w:val="00AD2F42"/>
    <w:rsid w:val="00AD4A22"/>
    <w:rsid w:val="00AD7288"/>
    <w:rsid w:val="00AD7F9F"/>
    <w:rsid w:val="00AE07BF"/>
    <w:rsid w:val="00AE1456"/>
    <w:rsid w:val="00AE48B8"/>
    <w:rsid w:val="00AE4A10"/>
    <w:rsid w:val="00AE5AFE"/>
    <w:rsid w:val="00AE69F2"/>
    <w:rsid w:val="00AE756F"/>
    <w:rsid w:val="00AE7A0C"/>
    <w:rsid w:val="00AE7EC9"/>
    <w:rsid w:val="00AF012F"/>
    <w:rsid w:val="00AF058C"/>
    <w:rsid w:val="00AF0C53"/>
    <w:rsid w:val="00AF183A"/>
    <w:rsid w:val="00AF1E01"/>
    <w:rsid w:val="00AF1ED2"/>
    <w:rsid w:val="00AF2204"/>
    <w:rsid w:val="00AF3665"/>
    <w:rsid w:val="00AF39F2"/>
    <w:rsid w:val="00AF4831"/>
    <w:rsid w:val="00AF5541"/>
    <w:rsid w:val="00AF5D7C"/>
    <w:rsid w:val="00AF61A6"/>
    <w:rsid w:val="00AF7093"/>
    <w:rsid w:val="00AF73E8"/>
    <w:rsid w:val="00AF777D"/>
    <w:rsid w:val="00B007D9"/>
    <w:rsid w:val="00B00D14"/>
    <w:rsid w:val="00B00D2F"/>
    <w:rsid w:val="00B01CB9"/>
    <w:rsid w:val="00B0252F"/>
    <w:rsid w:val="00B038C6"/>
    <w:rsid w:val="00B04447"/>
    <w:rsid w:val="00B04E16"/>
    <w:rsid w:val="00B064F9"/>
    <w:rsid w:val="00B07230"/>
    <w:rsid w:val="00B07E3E"/>
    <w:rsid w:val="00B121FD"/>
    <w:rsid w:val="00B1289E"/>
    <w:rsid w:val="00B128AE"/>
    <w:rsid w:val="00B131A6"/>
    <w:rsid w:val="00B131F4"/>
    <w:rsid w:val="00B15B74"/>
    <w:rsid w:val="00B16844"/>
    <w:rsid w:val="00B1729F"/>
    <w:rsid w:val="00B17E0A"/>
    <w:rsid w:val="00B206EC"/>
    <w:rsid w:val="00B21579"/>
    <w:rsid w:val="00B22943"/>
    <w:rsid w:val="00B22AEA"/>
    <w:rsid w:val="00B23C2B"/>
    <w:rsid w:val="00B24075"/>
    <w:rsid w:val="00B25608"/>
    <w:rsid w:val="00B258C3"/>
    <w:rsid w:val="00B25E64"/>
    <w:rsid w:val="00B25F0F"/>
    <w:rsid w:val="00B265DE"/>
    <w:rsid w:val="00B266EB"/>
    <w:rsid w:val="00B269B4"/>
    <w:rsid w:val="00B27609"/>
    <w:rsid w:val="00B27AC1"/>
    <w:rsid w:val="00B27E03"/>
    <w:rsid w:val="00B31419"/>
    <w:rsid w:val="00B3176F"/>
    <w:rsid w:val="00B31BAD"/>
    <w:rsid w:val="00B32C75"/>
    <w:rsid w:val="00B34A28"/>
    <w:rsid w:val="00B36FF0"/>
    <w:rsid w:val="00B37A06"/>
    <w:rsid w:val="00B37F1B"/>
    <w:rsid w:val="00B40C2D"/>
    <w:rsid w:val="00B41E7D"/>
    <w:rsid w:val="00B421BC"/>
    <w:rsid w:val="00B428E6"/>
    <w:rsid w:val="00B44901"/>
    <w:rsid w:val="00B45230"/>
    <w:rsid w:val="00B4535C"/>
    <w:rsid w:val="00B464CC"/>
    <w:rsid w:val="00B470EB"/>
    <w:rsid w:val="00B479F7"/>
    <w:rsid w:val="00B47FFA"/>
    <w:rsid w:val="00B50771"/>
    <w:rsid w:val="00B50DF4"/>
    <w:rsid w:val="00B50FCB"/>
    <w:rsid w:val="00B511C9"/>
    <w:rsid w:val="00B5185F"/>
    <w:rsid w:val="00B519FB"/>
    <w:rsid w:val="00B5251B"/>
    <w:rsid w:val="00B535FD"/>
    <w:rsid w:val="00B53A30"/>
    <w:rsid w:val="00B54908"/>
    <w:rsid w:val="00B54E92"/>
    <w:rsid w:val="00B553EB"/>
    <w:rsid w:val="00B55452"/>
    <w:rsid w:val="00B55B4F"/>
    <w:rsid w:val="00B572DB"/>
    <w:rsid w:val="00B5750A"/>
    <w:rsid w:val="00B57C83"/>
    <w:rsid w:val="00B62B1C"/>
    <w:rsid w:val="00B6335D"/>
    <w:rsid w:val="00B637D7"/>
    <w:rsid w:val="00B650F5"/>
    <w:rsid w:val="00B65A2E"/>
    <w:rsid w:val="00B669CD"/>
    <w:rsid w:val="00B67B19"/>
    <w:rsid w:val="00B67F50"/>
    <w:rsid w:val="00B70709"/>
    <w:rsid w:val="00B70840"/>
    <w:rsid w:val="00B70913"/>
    <w:rsid w:val="00B716EB"/>
    <w:rsid w:val="00B72501"/>
    <w:rsid w:val="00B72672"/>
    <w:rsid w:val="00B72817"/>
    <w:rsid w:val="00B73CA4"/>
    <w:rsid w:val="00B7447E"/>
    <w:rsid w:val="00B74B5D"/>
    <w:rsid w:val="00B7554C"/>
    <w:rsid w:val="00B757A1"/>
    <w:rsid w:val="00B76915"/>
    <w:rsid w:val="00B76ADC"/>
    <w:rsid w:val="00B77828"/>
    <w:rsid w:val="00B77A43"/>
    <w:rsid w:val="00B80218"/>
    <w:rsid w:val="00B80C18"/>
    <w:rsid w:val="00B820AA"/>
    <w:rsid w:val="00B82D5D"/>
    <w:rsid w:val="00B872A0"/>
    <w:rsid w:val="00B90BE6"/>
    <w:rsid w:val="00B90FDD"/>
    <w:rsid w:val="00B91061"/>
    <w:rsid w:val="00B91E0C"/>
    <w:rsid w:val="00B93471"/>
    <w:rsid w:val="00B93625"/>
    <w:rsid w:val="00B93C23"/>
    <w:rsid w:val="00B93EE8"/>
    <w:rsid w:val="00B94180"/>
    <w:rsid w:val="00B94B99"/>
    <w:rsid w:val="00B95349"/>
    <w:rsid w:val="00B954FE"/>
    <w:rsid w:val="00B95A6E"/>
    <w:rsid w:val="00B95E0E"/>
    <w:rsid w:val="00B96FFE"/>
    <w:rsid w:val="00B97DF6"/>
    <w:rsid w:val="00BA041E"/>
    <w:rsid w:val="00BA181F"/>
    <w:rsid w:val="00BA2E0A"/>
    <w:rsid w:val="00BA302A"/>
    <w:rsid w:val="00BA32F8"/>
    <w:rsid w:val="00BA360E"/>
    <w:rsid w:val="00BA3DF3"/>
    <w:rsid w:val="00BA461F"/>
    <w:rsid w:val="00BA4966"/>
    <w:rsid w:val="00BA5102"/>
    <w:rsid w:val="00BA5BC4"/>
    <w:rsid w:val="00BA614D"/>
    <w:rsid w:val="00BA61CA"/>
    <w:rsid w:val="00BA6B31"/>
    <w:rsid w:val="00BA6DE7"/>
    <w:rsid w:val="00BA72F4"/>
    <w:rsid w:val="00BA79F0"/>
    <w:rsid w:val="00BB0027"/>
    <w:rsid w:val="00BB064F"/>
    <w:rsid w:val="00BB124E"/>
    <w:rsid w:val="00BB16A2"/>
    <w:rsid w:val="00BB1BFB"/>
    <w:rsid w:val="00BB2E59"/>
    <w:rsid w:val="00BB3CF0"/>
    <w:rsid w:val="00BB4073"/>
    <w:rsid w:val="00BB4126"/>
    <w:rsid w:val="00BB43DB"/>
    <w:rsid w:val="00BB4B20"/>
    <w:rsid w:val="00BB50EB"/>
    <w:rsid w:val="00BB5542"/>
    <w:rsid w:val="00BB5B44"/>
    <w:rsid w:val="00BB690E"/>
    <w:rsid w:val="00BB6938"/>
    <w:rsid w:val="00BB6AF2"/>
    <w:rsid w:val="00BB6B00"/>
    <w:rsid w:val="00BB79B3"/>
    <w:rsid w:val="00BB7B63"/>
    <w:rsid w:val="00BB7CEF"/>
    <w:rsid w:val="00BB7F3B"/>
    <w:rsid w:val="00BC01F0"/>
    <w:rsid w:val="00BC0406"/>
    <w:rsid w:val="00BC0ABE"/>
    <w:rsid w:val="00BC0E4B"/>
    <w:rsid w:val="00BC19C6"/>
    <w:rsid w:val="00BC339C"/>
    <w:rsid w:val="00BC5A2D"/>
    <w:rsid w:val="00BC5F05"/>
    <w:rsid w:val="00BC6284"/>
    <w:rsid w:val="00BC6564"/>
    <w:rsid w:val="00BC6B40"/>
    <w:rsid w:val="00BC6DA3"/>
    <w:rsid w:val="00BC7240"/>
    <w:rsid w:val="00BD1216"/>
    <w:rsid w:val="00BD27CA"/>
    <w:rsid w:val="00BD2868"/>
    <w:rsid w:val="00BD3279"/>
    <w:rsid w:val="00BD3BF3"/>
    <w:rsid w:val="00BD3E53"/>
    <w:rsid w:val="00BD57BE"/>
    <w:rsid w:val="00BD7374"/>
    <w:rsid w:val="00BD7561"/>
    <w:rsid w:val="00BD7DA9"/>
    <w:rsid w:val="00BE02EF"/>
    <w:rsid w:val="00BE21A3"/>
    <w:rsid w:val="00BE2F09"/>
    <w:rsid w:val="00BE2FCA"/>
    <w:rsid w:val="00BE3FD1"/>
    <w:rsid w:val="00BE4699"/>
    <w:rsid w:val="00BE4D47"/>
    <w:rsid w:val="00BE530D"/>
    <w:rsid w:val="00BE5527"/>
    <w:rsid w:val="00BE6A56"/>
    <w:rsid w:val="00BE6B56"/>
    <w:rsid w:val="00BF037A"/>
    <w:rsid w:val="00BF09C2"/>
    <w:rsid w:val="00BF0A2D"/>
    <w:rsid w:val="00BF2042"/>
    <w:rsid w:val="00BF3ED2"/>
    <w:rsid w:val="00BF41EE"/>
    <w:rsid w:val="00BF4AAB"/>
    <w:rsid w:val="00BF4D7B"/>
    <w:rsid w:val="00BF6500"/>
    <w:rsid w:val="00BF6749"/>
    <w:rsid w:val="00BF675B"/>
    <w:rsid w:val="00BF7AD1"/>
    <w:rsid w:val="00C007FC"/>
    <w:rsid w:val="00C013F3"/>
    <w:rsid w:val="00C01CEB"/>
    <w:rsid w:val="00C024C3"/>
    <w:rsid w:val="00C0263D"/>
    <w:rsid w:val="00C02C45"/>
    <w:rsid w:val="00C034E5"/>
    <w:rsid w:val="00C0482A"/>
    <w:rsid w:val="00C050EF"/>
    <w:rsid w:val="00C05F2F"/>
    <w:rsid w:val="00C0633E"/>
    <w:rsid w:val="00C11B7D"/>
    <w:rsid w:val="00C11BD1"/>
    <w:rsid w:val="00C1300C"/>
    <w:rsid w:val="00C137B3"/>
    <w:rsid w:val="00C13D9E"/>
    <w:rsid w:val="00C1591B"/>
    <w:rsid w:val="00C15CD4"/>
    <w:rsid w:val="00C15DCF"/>
    <w:rsid w:val="00C17519"/>
    <w:rsid w:val="00C2009F"/>
    <w:rsid w:val="00C203EA"/>
    <w:rsid w:val="00C20551"/>
    <w:rsid w:val="00C21C68"/>
    <w:rsid w:val="00C237B9"/>
    <w:rsid w:val="00C24776"/>
    <w:rsid w:val="00C24BAD"/>
    <w:rsid w:val="00C25D5C"/>
    <w:rsid w:val="00C25DA3"/>
    <w:rsid w:val="00C25E3F"/>
    <w:rsid w:val="00C261FB"/>
    <w:rsid w:val="00C26244"/>
    <w:rsid w:val="00C266C9"/>
    <w:rsid w:val="00C26926"/>
    <w:rsid w:val="00C26C91"/>
    <w:rsid w:val="00C26E0E"/>
    <w:rsid w:val="00C27250"/>
    <w:rsid w:val="00C27B7A"/>
    <w:rsid w:val="00C27D56"/>
    <w:rsid w:val="00C300D9"/>
    <w:rsid w:val="00C30536"/>
    <w:rsid w:val="00C318A2"/>
    <w:rsid w:val="00C33519"/>
    <w:rsid w:val="00C336F3"/>
    <w:rsid w:val="00C33F74"/>
    <w:rsid w:val="00C3460D"/>
    <w:rsid w:val="00C34B5E"/>
    <w:rsid w:val="00C34C2F"/>
    <w:rsid w:val="00C3520E"/>
    <w:rsid w:val="00C357C5"/>
    <w:rsid w:val="00C36663"/>
    <w:rsid w:val="00C36BAD"/>
    <w:rsid w:val="00C37217"/>
    <w:rsid w:val="00C37888"/>
    <w:rsid w:val="00C40542"/>
    <w:rsid w:val="00C40883"/>
    <w:rsid w:val="00C41028"/>
    <w:rsid w:val="00C4157C"/>
    <w:rsid w:val="00C415A1"/>
    <w:rsid w:val="00C420F0"/>
    <w:rsid w:val="00C437F2"/>
    <w:rsid w:val="00C45E35"/>
    <w:rsid w:val="00C4670F"/>
    <w:rsid w:val="00C4695A"/>
    <w:rsid w:val="00C476DB"/>
    <w:rsid w:val="00C50061"/>
    <w:rsid w:val="00C503E0"/>
    <w:rsid w:val="00C5040E"/>
    <w:rsid w:val="00C5067A"/>
    <w:rsid w:val="00C506E3"/>
    <w:rsid w:val="00C50F97"/>
    <w:rsid w:val="00C5202A"/>
    <w:rsid w:val="00C520E7"/>
    <w:rsid w:val="00C52114"/>
    <w:rsid w:val="00C53105"/>
    <w:rsid w:val="00C53369"/>
    <w:rsid w:val="00C5356D"/>
    <w:rsid w:val="00C5444B"/>
    <w:rsid w:val="00C55329"/>
    <w:rsid w:val="00C55E2E"/>
    <w:rsid w:val="00C5752C"/>
    <w:rsid w:val="00C600EC"/>
    <w:rsid w:val="00C601EB"/>
    <w:rsid w:val="00C6021A"/>
    <w:rsid w:val="00C603B4"/>
    <w:rsid w:val="00C60E86"/>
    <w:rsid w:val="00C61503"/>
    <w:rsid w:val="00C61DF1"/>
    <w:rsid w:val="00C63385"/>
    <w:rsid w:val="00C63ADB"/>
    <w:rsid w:val="00C64359"/>
    <w:rsid w:val="00C66833"/>
    <w:rsid w:val="00C66CA8"/>
    <w:rsid w:val="00C66E61"/>
    <w:rsid w:val="00C66FA4"/>
    <w:rsid w:val="00C67A4E"/>
    <w:rsid w:val="00C70BD5"/>
    <w:rsid w:val="00C70D12"/>
    <w:rsid w:val="00C71EE6"/>
    <w:rsid w:val="00C734F9"/>
    <w:rsid w:val="00C73E1D"/>
    <w:rsid w:val="00C74F7C"/>
    <w:rsid w:val="00C7599F"/>
    <w:rsid w:val="00C7774B"/>
    <w:rsid w:val="00C77956"/>
    <w:rsid w:val="00C77BBD"/>
    <w:rsid w:val="00C80212"/>
    <w:rsid w:val="00C81553"/>
    <w:rsid w:val="00C82CAE"/>
    <w:rsid w:val="00C82E82"/>
    <w:rsid w:val="00C83A88"/>
    <w:rsid w:val="00C83B45"/>
    <w:rsid w:val="00C865C3"/>
    <w:rsid w:val="00C87412"/>
    <w:rsid w:val="00C90000"/>
    <w:rsid w:val="00C9012C"/>
    <w:rsid w:val="00C90F11"/>
    <w:rsid w:val="00C91291"/>
    <w:rsid w:val="00C916F8"/>
    <w:rsid w:val="00C918EA"/>
    <w:rsid w:val="00C91B2B"/>
    <w:rsid w:val="00C941CC"/>
    <w:rsid w:val="00C94A15"/>
    <w:rsid w:val="00C94DE3"/>
    <w:rsid w:val="00C9536C"/>
    <w:rsid w:val="00C95896"/>
    <w:rsid w:val="00C95E12"/>
    <w:rsid w:val="00C979FF"/>
    <w:rsid w:val="00C97D86"/>
    <w:rsid w:val="00CA3DC1"/>
    <w:rsid w:val="00CA45E3"/>
    <w:rsid w:val="00CA4EFD"/>
    <w:rsid w:val="00CA659C"/>
    <w:rsid w:val="00CA7EFF"/>
    <w:rsid w:val="00CB0979"/>
    <w:rsid w:val="00CB1124"/>
    <w:rsid w:val="00CB132F"/>
    <w:rsid w:val="00CB2DB4"/>
    <w:rsid w:val="00CB3065"/>
    <w:rsid w:val="00CB3B7D"/>
    <w:rsid w:val="00CB3EF2"/>
    <w:rsid w:val="00CB4380"/>
    <w:rsid w:val="00CB45CE"/>
    <w:rsid w:val="00CB5431"/>
    <w:rsid w:val="00CB5894"/>
    <w:rsid w:val="00CB66A1"/>
    <w:rsid w:val="00CB69F2"/>
    <w:rsid w:val="00CB7482"/>
    <w:rsid w:val="00CB7B03"/>
    <w:rsid w:val="00CC0E95"/>
    <w:rsid w:val="00CC136B"/>
    <w:rsid w:val="00CC285A"/>
    <w:rsid w:val="00CC2C4D"/>
    <w:rsid w:val="00CC43D6"/>
    <w:rsid w:val="00CC46E6"/>
    <w:rsid w:val="00CC53FE"/>
    <w:rsid w:val="00CC5470"/>
    <w:rsid w:val="00CC55F2"/>
    <w:rsid w:val="00CC5D6A"/>
    <w:rsid w:val="00CC659A"/>
    <w:rsid w:val="00CC6791"/>
    <w:rsid w:val="00CC7CC4"/>
    <w:rsid w:val="00CD1110"/>
    <w:rsid w:val="00CD13F4"/>
    <w:rsid w:val="00CD2A79"/>
    <w:rsid w:val="00CD429E"/>
    <w:rsid w:val="00CD4A8B"/>
    <w:rsid w:val="00CD4C64"/>
    <w:rsid w:val="00CD567C"/>
    <w:rsid w:val="00CD5CF1"/>
    <w:rsid w:val="00CD68BA"/>
    <w:rsid w:val="00CE093A"/>
    <w:rsid w:val="00CE1561"/>
    <w:rsid w:val="00CE1E22"/>
    <w:rsid w:val="00CE2219"/>
    <w:rsid w:val="00CE2A61"/>
    <w:rsid w:val="00CE304E"/>
    <w:rsid w:val="00CE436D"/>
    <w:rsid w:val="00CE54C2"/>
    <w:rsid w:val="00CE5830"/>
    <w:rsid w:val="00CE5B0C"/>
    <w:rsid w:val="00CE5E9A"/>
    <w:rsid w:val="00CE61E3"/>
    <w:rsid w:val="00CE6E13"/>
    <w:rsid w:val="00CF3413"/>
    <w:rsid w:val="00CF4C15"/>
    <w:rsid w:val="00CF5F94"/>
    <w:rsid w:val="00CF5FD1"/>
    <w:rsid w:val="00CF6A8F"/>
    <w:rsid w:val="00CF6FC6"/>
    <w:rsid w:val="00CF7643"/>
    <w:rsid w:val="00CF783F"/>
    <w:rsid w:val="00CF7873"/>
    <w:rsid w:val="00D00189"/>
    <w:rsid w:val="00D00343"/>
    <w:rsid w:val="00D00727"/>
    <w:rsid w:val="00D019D1"/>
    <w:rsid w:val="00D02207"/>
    <w:rsid w:val="00D023CD"/>
    <w:rsid w:val="00D02725"/>
    <w:rsid w:val="00D027B9"/>
    <w:rsid w:val="00D02FE8"/>
    <w:rsid w:val="00D03405"/>
    <w:rsid w:val="00D037FB"/>
    <w:rsid w:val="00D03BCB"/>
    <w:rsid w:val="00D03C17"/>
    <w:rsid w:val="00D03D0E"/>
    <w:rsid w:val="00D049D8"/>
    <w:rsid w:val="00D05DF8"/>
    <w:rsid w:val="00D071A5"/>
    <w:rsid w:val="00D128BB"/>
    <w:rsid w:val="00D12DB5"/>
    <w:rsid w:val="00D145F4"/>
    <w:rsid w:val="00D14F7E"/>
    <w:rsid w:val="00D15577"/>
    <w:rsid w:val="00D15F53"/>
    <w:rsid w:val="00D162F6"/>
    <w:rsid w:val="00D2035C"/>
    <w:rsid w:val="00D210FE"/>
    <w:rsid w:val="00D21C75"/>
    <w:rsid w:val="00D2285D"/>
    <w:rsid w:val="00D233CD"/>
    <w:rsid w:val="00D23B50"/>
    <w:rsid w:val="00D25707"/>
    <w:rsid w:val="00D27216"/>
    <w:rsid w:val="00D27309"/>
    <w:rsid w:val="00D273FE"/>
    <w:rsid w:val="00D30480"/>
    <w:rsid w:val="00D3072F"/>
    <w:rsid w:val="00D3095D"/>
    <w:rsid w:val="00D30AB0"/>
    <w:rsid w:val="00D3230E"/>
    <w:rsid w:val="00D327C4"/>
    <w:rsid w:val="00D33417"/>
    <w:rsid w:val="00D35745"/>
    <w:rsid w:val="00D35869"/>
    <w:rsid w:val="00D40D40"/>
    <w:rsid w:val="00D40FEE"/>
    <w:rsid w:val="00D416DE"/>
    <w:rsid w:val="00D41A96"/>
    <w:rsid w:val="00D43316"/>
    <w:rsid w:val="00D433DE"/>
    <w:rsid w:val="00D4437F"/>
    <w:rsid w:val="00D4459C"/>
    <w:rsid w:val="00D44A9D"/>
    <w:rsid w:val="00D44C82"/>
    <w:rsid w:val="00D44CFA"/>
    <w:rsid w:val="00D465B7"/>
    <w:rsid w:val="00D4664E"/>
    <w:rsid w:val="00D4711B"/>
    <w:rsid w:val="00D50914"/>
    <w:rsid w:val="00D50BDA"/>
    <w:rsid w:val="00D50EC4"/>
    <w:rsid w:val="00D515F9"/>
    <w:rsid w:val="00D51643"/>
    <w:rsid w:val="00D53D71"/>
    <w:rsid w:val="00D54775"/>
    <w:rsid w:val="00D54FA6"/>
    <w:rsid w:val="00D5503F"/>
    <w:rsid w:val="00D557B3"/>
    <w:rsid w:val="00D57538"/>
    <w:rsid w:val="00D57D42"/>
    <w:rsid w:val="00D57EA5"/>
    <w:rsid w:val="00D57F2F"/>
    <w:rsid w:val="00D57FB3"/>
    <w:rsid w:val="00D603C0"/>
    <w:rsid w:val="00D60D8E"/>
    <w:rsid w:val="00D61B74"/>
    <w:rsid w:val="00D6241C"/>
    <w:rsid w:val="00D62436"/>
    <w:rsid w:val="00D64287"/>
    <w:rsid w:val="00D660F4"/>
    <w:rsid w:val="00D70CC6"/>
    <w:rsid w:val="00D716BB"/>
    <w:rsid w:val="00D72F8B"/>
    <w:rsid w:val="00D73685"/>
    <w:rsid w:val="00D73C19"/>
    <w:rsid w:val="00D7436B"/>
    <w:rsid w:val="00D75ED2"/>
    <w:rsid w:val="00D760B8"/>
    <w:rsid w:val="00D76F20"/>
    <w:rsid w:val="00D80DDB"/>
    <w:rsid w:val="00D81E57"/>
    <w:rsid w:val="00D82FBA"/>
    <w:rsid w:val="00D83817"/>
    <w:rsid w:val="00D83828"/>
    <w:rsid w:val="00D83FED"/>
    <w:rsid w:val="00D84293"/>
    <w:rsid w:val="00D84611"/>
    <w:rsid w:val="00D85C6C"/>
    <w:rsid w:val="00D87649"/>
    <w:rsid w:val="00D87B7E"/>
    <w:rsid w:val="00D87CED"/>
    <w:rsid w:val="00D90796"/>
    <w:rsid w:val="00D91C36"/>
    <w:rsid w:val="00D92C44"/>
    <w:rsid w:val="00D93971"/>
    <w:rsid w:val="00D93DBC"/>
    <w:rsid w:val="00D9413E"/>
    <w:rsid w:val="00D94789"/>
    <w:rsid w:val="00D94B1F"/>
    <w:rsid w:val="00D94D42"/>
    <w:rsid w:val="00D95305"/>
    <w:rsid w:val="00D960CD"/>
    <w:rsid w:val="00D9612F"/>
    <w:rsid w:val="00D969F9"/>
    <w:rsid w:val="00DA051B"/>
    <w:rsid w:val="00DA0791"/>
    <w:rsid w:val="00DA17D5"/>
    <w:rsid w:val="00DA2730"/>
    <w:rsid w:val="00DA3DDD"/>
    <w:rsid w:val="00DA4206"/>
    <w:rsid w:val="00DA502F"/>
    <w:rsid w:val="00DA7767"/>
    <w:rsid w:val="00DB00D6"/>
    <w:rsid w:val="00DB107C"/>
    <w:rsid w:val="00DB1A66"/>
    <w:rsid w:val="00DB2975"/>
    <w:rsid w:val="00DB2B91"/>
    <w:rsid w:val="00DB2C34"/>
    <w:rsid w:val="00DB3032"/>
    <w:rsid w:val="00DB3E00"/>
    <w:rsid w:val="00DB4C35"/>
    <w:rsid w:val="00DB4CF5"/>
    <w:rsid w:val="00DB5201"/>
    <w:rsid w:val="00DB5749"/>
    <w:rsid w:val="00DB585C"/>
    <w:rsid w:val="00DB5F2F"/>
    <w:rsid w:val="00DB6BFD"/>
    <w:rsid w:val="00DB772A"/>
    <w:rsid w:val="00DB787D"/>
    <w:rsid w:val="00DB792E"/>
    <w:rsid w:val="00DC0976"/>
    <w:rsid w:val="00DC0E44"/>
    <w:rsid w:val="00DC25E2"/>
    <w:rsid w:val="00DC35E5"/>
    <w:rsid w:val="00DC53C3"/>
    <w:rsid w:val="00DC55E2"/>
    <w:rsid w:val="00DC5746"/>
    <w:rsid w:val="00DC5AD8"/>
    <w:rsid w:val="00DC6FB0"/>
    <w:rsid w:val="00DC6FB7"/>
    <w:rsid w:val="00DC7E0B"/>
    <w:rsid w:val="00DD007F"/>
    <w:rsid w:val="00DD0582"/>
    <w:rsid w:val="00DD0BCB"/>
    <w:rsid w:val="00DD4648"/>
    <w:rsid w:val="00DD4DAE"/>
    <w:rsid w:val="00DD557E"/>
    <w:rsid w:val="00DD5728"/>
    <w:rsid w:val="00DD6096"/>
    <w:rsid w:val="00DD630D"/>
    <w:rsid w:val="00DD6DD3"/>
    <w:rsid w:val="00DD6DE0"/>
    <w:rsid w:val="00DE012F"/>
    <w:rsid w:val="00DE0449"/>
    <w:rsid w:val="00DE0AED"/>
    <w:rsid w:val="00DE187F"/>
    <w:rsid w:val="00DE19BF"/>
    <w:rsid w:val="00DE293F"/>
    <w:rsid w:val="00DE2DE8"/>
    <w:rsid w:val="00DE2FCD"/>
    <w:rsid w:val="00DE3071"/>
    <w:rsid w:val="00DE6416"/>
    <w:rsid w:val="00DE70BE"/>
    <w:rsid w:val="00DE7297"/>
    <w:rsid w:val="00DE7352"/>
    <w:rsid w:val="00DE7EF7"/>
    <w:rsid w:val="00DE7FED"/>
    <w:rsid w:val="00DF0A20"/>
    <w:rsid w:val="00DF223A"/>
    <w:rsid w:val="00DF37EE"/>
    <w:rsid w:val="00DF3DC9"/>
    <w:rsid w:val="00DF4450"/>
    <w:rsid w:val="00DF567C"/>
    <w:rsid w:val="00DF66E5"/>
    <w:rsid w:val="00DF70B3"/>
    <w:rsid w:val="00E0021D"/>
    <w:rsid w:val="00E005C8"/>
    <w:rsid w:val="00E00ADD"/>
    <w:rsid w:val="00E01195"/>
    <w:rsid w:val="00E011D3"/>
    <w:rsid w:val="00E0180F"/>
    <w:rsid w:val="00E02F67"/>
    <w:rsid w:val="00E03445"/>
    <w:rsid w:val="00E036B3"/>
    <w:rsid w:val="00E040A8"/>
    <w:rsid w:val="00E04A83"/>
    <w:rsid w:val="00E04C52"/>
    <w:rsid w:val="00E05971"/>
    <w:rsid w:val="00E062DC"/>
    <w:rsid w:val="00E077D8"/>
    <w:rsid w:val="00E10561"/>
    <w:rsid w:val="00E1145E"/>
    <w:rsid w:val="00E12F9F"/>
    <w:rsid w:val="00E13B4F"/>
    <w:rsid w:val="00E14379"/>
    <w:rsid w:val="00E144EC"/>
    <w:rsid w:val="00E14837"/>
    <w:rsid w:val="00E1584B"/>
    <w:rsid w:val="00E16752"/>
    <w:rsid w:val="00E1687D"/>
    <w:rsid w:val="00E16A12"/>
    <w:rsid w:val="00E172FF"/>
    <w:rsid w:val="00E20160"/>
    <w:rsid w:val="00E20879"/>
    <w:rsid w:val="00E209FA"/>
    <w:rsid w:val="00E215B1"/>
    <w:rsid w:val="00E21640"/>
    <w:rsid w:val="00E21B2E"/>
    <w:rsid w:val="00E22C24"/>
    <w:rsid w:val="00E24249"/>
    <w:rsid w:val="00E26521"/>
    <w:rsid w:val="00E26AC6"/>
    <w:rsid w:val="00E26D6B"/>
    <w:rsid w:val="00E271C3"/>
    <w:rsid w:val="00E309F9"/>
    <w:rsid w:val="00E31AAE"/>
    <w:rsid w:val="00E37CA3"/>
    <w:rsid w:val="00E40C07"/>
    <w:rsid w:val="00E41348"/>
    <w:rsid w:val="00E413B1"/>
    <w:rsid w:val="00E4141D"/>
    <w:rsid w:val="00E42136"/>
    <w:rsid w:val="00E4250A"/>
    <w:rsid w:val="00E42BDD"/>
    <w:rsid w:val="00E4329F"/>
    <w:rsid w:val="00E45824"/>
    <w:rsid w:val="00E46CBD"/>
    <w:rsid w:val="00E47893"/>
    <w:rsid w:val="00E47A56"/>
    <w:rsid w:val="00E47FE8"/>
    <w:rsid w:val="00E5145B"/>
    <w:rsid w:val="00E52720"/>
    <w:rsid w:val="00E52FE9"/>
    <w:rsid w:val="00E53C31"/>
    <w:rsid w:val="00E54B13"/>
    <w:rsid w:val="00E56295"/>
    <w:rsid w:val="00E600CC"/>
    <w:rsid w:val="00E60C89"/>
    <w:rsid w:val="00E61AC7"/>
    <w:rsid w:val="00E61F08"/>
    <w:rsid w:val="00E6234B"/>
    <w:rsid w:val="00E62E5E"/>
    <w:rsid w:val="00E648BF"/>
    <w:rsid w:val="00E649FA"/>
    <w:rsid w:val="00E65DB1"/>
    <w:rsid w:val="00E66B39"/>
    <w:rsid w:val="00E66F70"/>
    <w:rsid w:val="00E674C2"/>
    <w:rsid w:val="00E67B5C"/>
    <w:rsid w:val="00E709CF"/>
    <w:rsid w:val="00E7134F"/>
    <w:rsid w:val="00E71566"/>
    <w:rsid w:val="00E723C0"/>
    <w:rsid w:val="00E723C3"/>
    <w:rsid w:val="00E727EA"/>
    <w:rsid w:val="00E72ADA"/>
    <w:rsid w:val="00E72AFA"/>
    <w:rsid w:val="00E72CB6"/>
    <w:rsid w:val="00E74515"/>
    <w:rsid w:val="00E751F3"/>
    <w:rsid w:val="00E75CA7"/>
    <w:rsid w:val="00E76608"/>
    <w:rsid w:val="00E76BDC"/>
    <w:rsid w:val="00E77FB6"/>
    <w:rsid w:val="00E81743"/>
    <w:rsid w:val="00E82624"/>
    <w:rsid w:val="00E8299A"/>
    <w:rsid w:val="00E84826"/>
    <w:rsid w:val="00E848C0"/>
    <w:rsid w:val="00E84AFB"/>
    <w:rsid w:val="00E84DE4"/>
    <w:rsid w:val="00E85CA8"/>
    <w:rsid w:val="00E86E82"/>
    <w:rsid w:val="00E8780F"/>
    <w:rsid w:val="00E90471"/>
    <w:rsid w:val="00E91B08"/>
    <w:rsid w:val="00E92284"/>
    <w:rsid w:val="00E92A55"/>
    <w:rsid w:val="00E92BF3"/>
    <w:rsid w:val="00E93CF8"/>
    <w:rsid w:val="00E94E8D"/>
    <w:rsid w:val="00E94ED4"/>
    <w:rsid w:val="00E9556B"/>
    <w:rsid w:val="00E95AB3"/>
    <w:rsid w:val="00E96B56"/>
    <w:rsid w:val="00E96F47"/>
    <w:rsid w:val="00E971BF"/>
    <w:rsid w:val="00E97933"/>
    <w:rsid w:val="00EA0465"/>
    <w:rsid w:val="00EA18F0"/>
    <w:rsid w:val="00EA1D1C"/>
    <w:rsid w:val="00EA2D5A"/>
    <w:rsid w:val="00EA2E11"/>
    <w:rsid w:val="00EA3A7B"/>
    <w:rsid w:val="00EA5995"/>
    <w:rsid w:val="00EA6712"/>
    <w:rsid w:val="00EA6E86"/>
    <w:rsid w:val="00EA7041"/>
    <w:rsid w:val="00EB0BA4"/>
    <w:rsid w:val="00EB0BD7"/>
    <w:rsid w:val="00EB0FD3"/>
    <w:rsid w:val="00EB1BDA"/>
    <w:rsid w:val="00EB2409"/>
    <w:rsid w:val="00EB24CA"/>
    <w:rsid w:val="00EB3F03"/>
    <w:rsid w:val="00EB4E41"/>
    <w:rsid w:val="00EB5036"/>
    <w:rsid w:val="00EB5524"/>
    <w:rsid w:val="00EB70C7"/>
    <w:rsid w:val="00EB7BCD"/>
    <w:rsid w:val="00EC0B8D"/>
    <w:rsid w:val="00EC112E"/>
    <w:rsid w:val="00EC1722"/>
    <w:rsid w:val="00EC186D"/>
    <w:rsid w:val="00EC3282"/>
    <w:rsid w:val="00EC3E97"/>
    <w:rsid w:val="00EC4508"/>
    <w:rsid w:val="00EC67FC"/>
    <w:rsid w:val="00ED071B"/>
    <w:rsid w:val="00ED0841"/>
    <w:rsid w:val="00ED30E8"/>
    <w:rsid w:val="00ED363B"/>
    <w:rsid w:val="00ED380A"/>
    <w:rsid w:val="00ED3ADF"/>
    <w:rsid w:val="00ED4990"/>
    <w:rsid w:val="00ED4C2A"/>
    <w:rsid w:val="00ED64B3"/>
    <w:rsid w:val="00ED71EF"/>
    <w:rsid w:val="00EE180B"/>
    <w:rsid w:val="00EE1A6C"/>
    <w:rsid w:val="00EE1DD2"/>
    <w:rsid w:val="00EE2FC4"/>
    <w:rsid w:val="00EE32B9"/>
    <w:rsid w:val="00EE3486"/>
    <w:rsid w:val="00EE3A5A"/>
    <w:rsid w:val="00EE3D9D"/>
    <w:rsid w:val="00EE4827"/>
    <w:rsid w:val="00EE4D99"/>
    <w:rsid w:val="00EE5E99"/>
    <w:rsid w:val="00EE61D9"/>
    <w:rsid w:val="00EE716E"/>
    <w:rsid w:val="00EF5541"/>
    <w:rsid w:val="00EF55D3"/>
    <w:rsid w:val="00EF5E4E"/>
    <w:rsid w:val="00F008AC"/>
    <w:rsid w:val="00F01794"/>
    <w:rsid w:val="00F0189A"/>
    <w:rsid w:val="00F02222"/>
    <w:rsid w:val="00F02B0B"/>
    <w:rsid w:val="00F030D8"/>
    <w:rsid w:val="00F03ABE"/>
    <w:rsid w:val="00F03B4E"/>
    <w:rsid w:val="00F03EFD"/>
    <w:rsid w:val="00F03FEA"/>
    <w:rsid w:val="00F04167"/>
    <w:rsid w:val="00F046A4"/>
    <w:rsid w:val="00F0485C"/>
    <w:rsid w:val="00F04E1A"/>
    <w:rsid w:val="00F05C7D"/>
    <w:rsid w:val="00F0760A"/>
    <w:rsid w:val="00F07632"/>
    <w:rsid w:val="00F106DD"/>
    <w:rsid w:val="00F11BEC"/>
    <w:rsid w:val="00F120A4"/>
    <w:rsid w:val="00F135F9"/>
    <w:rsid w:val="00F13869"/>
    <w:rsid w:val="00F139B8"/>
    <w:rsid w:val="00F13A07"/>
    <w:rsid w:val="00F15072"/>
    <w:rsid w:val="00F16411"/>
    <w:rsid w:val="00F16618"/>
    <w:rsid w:val="00F16D37"/>
    <w:rsid w:val="00F17ACB"/>
    <w:rsid w:val="00F2021D"/>
    <w:rsid w:val="00F2071F"/>
    <w:rsid w:val="00F20A69"/>
    <w:rsid w:val="00F20B0B"/>
    <w:rsid w:val="00F20E2D"/>
    <w:rsid w:val="00F20FF4"/>
    <w:rsid w:val="00F2301A"/>
    <w:rsid w:val="00F2308F"/>
    <w:rsid w:val="00F23D54"/>
    <w:rsid w:val="00F26CA4"/>
    <w:rsid w:val="00F31506"/>
    <w:rsid w:val="00F31C3D"/>
    <w:rsid w:val="00F32C25"/>
    <w:rsid w:val="00F33569"/>
    <w:rsid w:val="00F35120"/>
    <w:rsid w:val="00F35234"/>
    <w:rsid w:val="00F359A2"/>
    <w:rsid w:val="00F370EF"/>
    <w:rsid w:val="00F40085"/>
    <w:rsid w:val="00F405B5"/>
    <w:rsid w:val="00F408BE"/>
    <w:rsid w:val="00F40B61"/>
    <w:rsid w:val="00F40C77"/>
    <w:rsid w:val="00F43A45"/>
    <w:rsid w:val="00F43A88"/>
    <w:rsid w:val="00F43E32"/>
    <w:rsid w:val="00F4502F"/>
    <w:rsid w:val="00F45E39"/>
    <w:rsid w:val="00F46F09"/>
    <w:rsid w:val="00F4789E"/>
    <w:rsid w:val="00F47D8D"/>
    <w:rsid w:val="00F47FB7"/>
    <w:rsid w:val="00F5084B"/>
    <w:rsid w:val="00F511F2"/>
    <w:rsid w:val="00F51D1A"/>
    <w:rsid w:val="00F5272C"/>
    <w:rsid w:val="00F52E1F"/>
    <w:rsid w:val="00F53119"/>
    <w:rsid w:val="00F5321C"/>
    <w:rsid w:val="00F53935"/>
    <w:rsid w:val="00F5401C"/>
    <w:rsid w:val="00F547B6"/>
    <w:rsid w:val="00F54DAF"/>
    <w:rsid w:val="00F553F6"/>
    <w:rsid w:val="00F56A55"/>
    <w:rsid w:val="00F578A2"/>
    <w:rsid w:val="00F57CEE"/>
    <w:rsid w:val="00F6046F"/>
    <w:rsid w:val="00F6194A"/>
    <w:rsid w:val="00F62121"/>
    <w:rsid w:val="00F64D79"/>
    <w:rsid w:val="00F6572C"/>
    <w:rsid w:val="00F65E93"/>
    <w:rsid w:val="00F669E0"/>
    <w:rsid w:val="00F66F56"/>
    <w:rsid w:val="00F6765F"/>
    <w:rsid w:val="00F7116B"/>
    <w:rsid w:val="00F71316"/>
    <w:rsid w:val="00F71790"/>
    <w:rsid w:val="00F71953"/>
    <w:rsid w:val="00F731E7"/>
    <w:rsid w:val="00F738B9"/>
    <w:rsid w:val="00F758E0"/>
    <w:rsid w:val="00F7650C"/>
    <w:rsid w:val="00F769F5"/>
    <w:rsid w:val="00F80183"/>
    <w:rsid w:val="00F813A9"/>
    <w:rsid w:val="00F81B0E"/>
    <w:rsid w:val="00F81FBC"/>
    <w:rsid w:val="00F82AB1"/>
    <w:rsid w:val="00F83242"/>
    <w:rsid w:val="00F84A8F"/>
    <w:rsid w:val="00F876AB"/>
    <w:rsid w:val="00F87E59"/>
    <w:rsid w:val="00F909B8"/>
    <w:rsid w:val="00F9104C"/>
    <w:rsid w:val="00F91788"/>
    <w:rsid w:val="00F91981"/>
    <w:rsid w:val="00F92826"/>
    <w:rsid w:val="00F92E5B"/>
    <w:rsid w:val="00F92FCB"/>
    <w:rsid w:val="00F93533"/>
    <w:rsid w:val="00F9367F"/>
    <w:rsid w:val="00F9369F"/>
    <w:rsid w:val="00F93A2B"/>
    <w:rsid w:val="00F93CD8"/>
    <w:rsid w:val="00F94768"/>
    <w:rsid w:val="00F94DF5"/>
    <w:rsid w:val="00F94F46"/>
    <w:rsid w:val="00F955FF"/>
    <w:rsid w:val="00F95A46"/>
    <w:rsid w:val="00F96E0A"/>
    <w:rsid w:val="00F97F1E"/>
    <w:rsid w:val="00FA0719"/>
    <w:rsid w:val="00FA0923"/>
    <w:rsid w:val="00FA0B3A"/>
    <w:rsid w:val="00FA0D08"/>
    <w:rsid w:val="00FA1B06"/>
    <w:rsid w:val="00FA279D"/>
    <w:rsid w:val="00FA489A"/>
    <w:rsid w:val="00FA77F4"/>
    <w:rsid w:val="00FA7914"/>
    <w:rsid w:val="00FB004F"/>
    <w:rsid w:val="00FB010F"/>
    <w:rsid w:val="00FB0FB5"/>
    <w:rsid w:val="00FB1E89"/>
    <w:rsid w:val="00FB2A84"/>
    <w:rsid w:val="00FB2AE3"/>
    <w:rsid w:val="00FB2D47"/>
    <w:rsid w:val="00FB43F6"/>
    <w:rsid w:val="00FB4C08"/>
    <w:rsid w:val="00FB51DD"/>
    <w:rsid w:val="00FB55F5"/>
    <w:rsid w:val="00FB5695"/>
    <w:rsid w:val="00FB59CF"/>
    <w:rsid w:val="00FB59FD"/>
    <w:rsid w:val="00FB5B20"/>
    <w:rsid w:val="00FB61B2"/>
    <w:rsid w:val="00FB6620"/>
    <w:rsid w:val="00FB6BDB"/>
    <w:rsid w:val="00FB776D"/>
    <w:rsid w:val="00FB7AC5"/>
    <w:rsid w:val="00FC04AA"/>
    <w:rsid w:val="00FC17AF"/>
    <w:rsid w:val="00FC2024"/>
    <w:rsid w:val="00FC2A84"/>
    <w:rsid w:val="00FC3F43"/>
    <w:rsid w:val="00FC4542"/>
    <w:rsid w:val="00FC60D5"/>
    <w:rsid w:val="00FC6222"/>
    <w:rsid w:val="00FC6389"/>
    <w:rsid w:val="00FC7F7C"/>
    <w:rsid w:val="00FD01BE"/>
    <w:rsid w:val="00FD0597"/>
    <w:rsid w:val="00FD0E1C"/>
    <w:rsid w:val="00FD1BD9"/>
    <w:rsid w:val="00FD1FB2"/>
    <w:rsid w:val="00FD349C"/>
    <w:rsid w:val="00FD36FF"/>
    <w:rsid w:val="00FD4501"/>
    <w:rsid w:val="00FD4B65"/>
    <w:rsid w:val="00FD4F5C"/>
    <w:rsid w:val="00FD54EE"/>
    <w:rsid w:val="00FD5926"/>
    <w:rsid w:val="00FD5C7E"/>
    <w:rsid w:val="00FD7B1B"/>
    <w:rsid w:val="00FE10C4"/>
    <w:rsid w:val="00FE20CB"/>
    <w:rsid w:val="00FE2128"/>
    <w:rsid w:val="00FE2624"/>
    <w:rsid w:val="00FE291D"/>
    <w:rsid w:val="00FE335A"/>
    <w:rsid w:val="00FE3D89"/>
    <w:rsid w:val="00FE3F74"/>
    <w:rsid w:val="00FE6946"/>
    <w:rsid w:val="00FE6C57"/>
    <w:rsid w:val="00FF0214"/>
    <w:rsid w:val="00FF055B"/>
    <w:rsid w:val="00FF0BCE"/>
    <w:rsid w:val="00FF0E27"/>
    <w:rsid w:val="00FF1AAB"/>
    <w:rsid w:val="00FF1F8A"/>
    <w:rsid w:val="00FF23D6"/>
    <w:rsid w:val="00FF24DB"/>
    <w:rsid w:val="00FF2703"/>
    <w:rsid w:val="00FF32A9"/>
    <w:rsid w:val="00FF4847"/>
    <w:rsid w:val="00FF6293"/>
    <w:rsid w:val="00FF6CAE"/>
    <w:rsid w:val="00FF6E9D"/>
    <w:rsid w:val="00FF7066"/>
    <w:rsid w:val="00FF7570"/>
    <w:rsid w:val="00FF7A7D"/>
    <w:rsid w:val="00FF7C26"/>
    <w:rsid w:val="00FF7CDC"/>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CA56687"/>
  <w15:chartTrackingRefBased/>
  <w15:docId w15:val="{2FFE915E-EE4B-4D3B-9D7F-B841EC26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jc w:val="center"/>
      <w:outlineLvl w:val="1"/>
    </w:pPr>
    <w:rPr>
      <w:b/>
      <w:sz w:val="24"/>
      <w:u w:val="single"/>
    </w:rPr>
  </w:style>
  <w:style w:type="paragraph" w:styleId="Heading3">
    <w:name w:val="heading 3"/>
    <w:basedOn w:val="Normal"/>
    <w:next w:val="Normal"/>
    <w:link w:val="Heading3Char"/>
    <w:qFormat/>
    <w:pPr>
      <w:keepNext/>
      <w:jc w:val="right"/>
      <w:outlineLvl w:val="2"/>
    </w:pPr>
    <w:rPr>
      <w:sz w:val="24"/>
    </w:rPr>
  </w:style>
  <w:style w:type="paragraph" w:styleId="Heading4">
    <w:name w:val="heading 4"/>
    <w:basedOn w:val="Normal"/>
    <w:next w:val="Normal"/>
    <w:link w:val="Heading4Char"/>
    <w:qFormat/>
    <w:pPr>
      <w:keepNext/>
      <w:jc w:val="right"/>
      <w:outlineLvl w:val="3"/>
    </w:pPr>
    <w:rPr>
      <w:b/>
      <w:sz w:val="22"/>
    </w:rPr>
  </w:style>
  <w:style w:type="paragraph" w:styleId="Heading5">
    <w:name w:val="heading 5"/>
    <w:basedOn w:val="Normal"/>
    <w:next w:val="Normal"/>
    <w:link w:val="Heading5Char"/>
    <w:qFormat/>
    <w:pPr>
      <w:keepNex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widowControl w:val="0"/>
      <w:tabs>
        <w:tab w:val="right" w:pos="9072"/>
      </w:tabs>
    </w:pPr>
    <w:rPr>
      <w:rFonts w:ascii="Garamond" w:hAnsi="Garamond"/>
      <w:sz w:val="18"/>
    </w:rPr>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jc w:val="both"/>
    </w:pPr>
    <w:rPr>
      <w:sz w:val="24"/>
    </w:rPr>
  </w:style>
  <w:style w:type="paragraph" w:styleId="BalloonText">
    <w:name w:val="Balloon Text"/>
    <w:basedOn w:val="Normal"/>
    <w:link w:val="BalloonTextChar"/>
    <w:semiHidden/>
    <w:rsid w:val="005A6322"/>
    <w:rPr>
      <w:rFonts w:ascii="Tahoma" w:hAnsi="Tahoma" w:cs="Tahoma"/>
      <w:sz w:val="16"/>
      <w:szCs w:val="16"/>
    </w:rPr>
  </w:style>
  <w:style w:type="table" w:styleId="TableGrid">
    <w:name w:val="Table Grid"/>
    <w:basedOn w:val="TableNormal"/>
    <w:rsid w:val="00A14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3101D"/>
    <w:rPr>
      <w:color w:val="0000FF"/>
      <w:u w:val="single"/>
    </w:rPr>
  </w:style>
  <w:style w:type="character" w:customStyle="1" w:styleId="Heading1Char">
    <w:name w:val="Heading 1 Char"/>
    <w:basedOn w:val="DefaultParagraphFont"/>
    <w:link w:val="Heading1"/>
    <w:rsid w:val="003D33CB"/>
    <w:rPr>
      <w:sz w:val="24"/>
    </w:rPr>
  </w:style>
  <w:style w:type="character" w:customStyle="1" w:styleId="Heading4Char">
    <w:name w:val="Heading 4 Char"/>
    <w:basedOn w:val="DefaultParagraphFont"/>
    <w:link w:val="Heading4"/>
    <w:rsid w:val="003D33CB"/>
    <w:rPr>
      <w:b/>
      <w:sz w:val="22"/>
    </w:rPr>
  </w:style>
  <w:style w:type="character" w:customStyle="1" w:styleId="FooterChar">
    <w:name w:val="Footer Char"/>
    <w:basedOn w:val="DefaultParagraphFont"/>
    <w:link w:val="Footer"/>
    <w:uiPriority w:val="99"/>
    <w:rsid w:val="003D33CB"/>
    <w:rPr>
      <w:rFonts w:ascii="Garamond" w:hAnsi="Garamond"/>
      <w:sz w:val="18"/>
    </w:rPr>
  </w:style>
  <w:style w:type="character" w:customStyle="1" w:styleId="HeaderChar">
    <w:name w:val="Header Char"/>
    <w:basedOn w:val="DefaultParagraphFont"/>
    <w:link w:val="Header"/>
    <w:rsid w:val="003D33CB"/>
  </w:style>
  <w:style w:type="character" w:styleId="PageNumber">
    <w:name w:val="page number"/>
    <w:basedOn w:val="DefaultParagraphFont"/>
    <w:rsid w:val="003D33CB"/>
  </w:style>
  <w:style w:type="character" w:customStyle="1" w:styleId="BalloonTextChar">
    <w:name w:val="Balloon Text Char"/>
    <w:basedOn w:val="DefaultParagraphFont"/>
    <w:link w:val="BalloonText"/>
    <w:semiHidden/>
    <w:rsid w:val="003D33CB"/>
    <w:rPr>
      <w:rFonts w:ascii="Tahoma" w:hAnsi="Tahoma" w:cs="Tahoma"/>
      <w:sz w:val="16"/>
      <w:szCs w:val="16"/>
    </w:rPr>
  </w:style>
  <w:style w:type="paragraph" w:customStyle="1" w:styleId="capture-plusaddress-formatted">
    <w:name w:val="capture-plus address-formatted"/>
    <w:basedOn w:val="Normal"/>
    <w:rsid w:val="003D33CB"/>
    <w:pPr>
      <w:spacing w:before="100" w:beforeAutospacing="1" w:after="100" w:afterAutospacing="1"/>
    </w:pPr>
    <w:rPr>
      <w:sz w:val="24"/>
      <w:szCs w:val="24"/>
    </w:rPr>
  </w:style>
  <w:style w:type="paragraph" w:styleId="ListParagraph">
    <w:name w:val="List Paragraph"/>
    <w:basedOn w:val="Normal"/>
    <w:uiPriority w:val="34"/>
    <w:qFormat/>
    <w:rsid w:val="003D33CB"/>
    <w:pPr>
      <w:ind w:left="720"/>
    </w:pPr>
  </w:style>
  <w:style w:type="character" w:customStyle="1" w:styleId="UnresolvedMention">
    <w:name w:val="Unresolved Mention"/>
    <w:uiPriority w:val="99"/>
    <w:semiHidden/>
    <w:unhideWhenUsed/>
    <w:rsid w:val="003D33CB"/>
    <w:rPr>
      <w:color w:val="605E5C"/>
      <w:shd w:val="clear" w:color="auto" w:fill="E1DFDD"/>
    </w:rPr>
  </w:style>
  <w:style w:type="paragraph" w:customStyle="1" w:styleId="legclearfix2">
    <w:name w:val="legclearfix2"/>
    <w:basedOn w:val="Normal"/>
    <w:rsid w:val="003D33CB"/>
    <w:pPr>
      <w:shd w:val="clear" w:color="auto" w:fill="FFFFFF"/>
      <w:spacing w:after="120" w:line="360" w:lineRule="atLeast"/>
    </w:pPr>
    <w:rPr>
      <w:color w:val="000000"/>
      <w:sz w:val="19"/>
      <w:szCs w:val="19"/>
    </w:rPr>
  </w:style>
  <w:style w:type="character" w:customStyle="1" w:styleId="legds2">
    <w:name w:val="legds2"/>
    <w:rsid w:val="003D33CB"/>
    <w:rPr>
      <w:vanish w:val="0"/>
      <w:webHidden w:val="0"/>
      <w:specVanish w:val="0"/>
    </w:rPr>
  </w:style>
  <w:style w:type="paragraph" w:styleId="NormalWeb">
    <w:name w:val="Normal (Web)"/>
    <w:basedOn w:val="Normal"/>
    <w:uiPriority w:val="99"/>
    <w:rsid w:val="003D33CB"/>
    <w:pPr>
      <w:spacing w:before="100" w:beforeAutospacing="1" w:after="100" w:afterAutospacing="1"/>
    </w:pPr>
    <w:rPr>
      <w:sz w:val="24"/>
      <w:szCs w:val="24"/>
    </w:rPr>
  </w:style>
  <w:style w:type="paragraph" w:customStyle="1" w:styleId="ParaLevel1">
    <w:name w:val="ParaLevel1"/>
    <w:basedOn w:val="Normal"/>
    <w:uiPriority w:val="99"/>
    <w:rsid w:val="003D33CB"/>
    <w:pPr>
      <w:numPr>
        <w:numId w:val="16"/>
      </w:numPr>
      <w:suppressAutoHyphens/>
      <w:spacing w:before="240" w:after="240"/>
      <w:jc w:val="both"/>
      <w:outlineLvl w:val="0"/>
    </w:pPr>
    <w:rPr>
      <w:sz w:val="24"/>
      <w:lang w:eastAsia="en-US"/>
    </w:rPr>
  </w:style>
  <w:style w:type="paragraph" w:customStyle="1" w:styleId="ParaLevel2">
    <w:name w:val="ParaLevel2"/>
    <w:basedOn w:val="Normal"/>
    <w:uiPriority w:val="99"/>
    <w:rsid w:val="003D33CB"/>
    <w:pPr>
      <w:numPr>
        <w:ilvl w:val="1"/>
        <w:numId w:val="16"/>
      </w:numPr>
      <w:suppressAutoHyphens/>
      <w:spacing w:before="240" w:after="240"/>
      <w:jc w:val="both"/>
      <w:outlineLvl w:val="1"/>
    </w:pPr>
    <w:rPr>
      <w:sz w:val="24"/>
      <w:lang w:eastAsia="en-US"/>
    </w:rPr>
  </w:style>
  <w:style w:type="paragraph" w:customStyle="1" w:styleId="ParaLevel3">
    <w:name w:val="ParaLevel3"/>
    <w:basedOn w:val="Normal"/>
    <w:uiPriority w:val="99"/>
    <w:rsid w:val="003D33CB"/>
    <w:pPr>
      <w:numPr>
        <w:ilvl w:val="2"/>
        <w:numId w:val="16"/>
      </w:numPr>
      <w:suppressAutoHyphens/>
      <w:spacing w:before="240" w:after="240"/>
      <w:jc w:val="both"/>
      <w:outlineLvl w:val="2"/>
    </w:pPr>
    <w:rPr>
      <w:sz w:val="24"/>
      <w:lang w:eastAsia="en-US"/>
    </w:rPr>
  </w:style>
  <w:style w:type="paragraph" w:customStyle="1" w:styleId="ParaLevel4">
    <w:name w:val="ParaLevel4"/>
    <w:basedOn w:val="Normal"/>
    <w:uiPriority w:val="99"/>
    <w:rsid w:val="003D33CB"/>
    <w:pPr>
      <w:numPr>
        <w:ilvl w:val="3"/>
        <w:numId w:val="16"/>
      </w:numPr>
      <w:tabs>
        <w:tab w:val="num" w:pos="2836"/>
      </w:tabs>
      <w:suppressAutoHyphens/>
      <w:spacing w:before="240" w:after="240"/>
      <w:jc w:val="both"/>
      <w:outlineLvl w:val="3"/>
    </w:pPr>
    <w:rPr>
      <w:sz w:val="24"/>
      <w:lang w:eastAsia="en-US"/>
    </w:rPr>
  </w:style>
  <w:style w:type="paragraph" w:customStyle="1" w:styleId="ParaLevel5">
    <w:name w:val="ParaLevel5"/>
    <w:basedOn w:val="Normal"/>
    <w:uiPriority w:val="99"/>
    <w:rsid w:val="003D33CB"/>
    <w:pPr>
      <w:numPr>
        <w:ilvl w:val="4"/>
        <w:numId w:val="16"/>
      </w:numPr>
      <w:suppressAutoHyphens/>
      <w:spacing w:before="240" w:after="240"/>
      <w:jc w:val="both"/>
      <w:outlineLvl w:val="4"/>
    </w:pPr>
    <w:rPr>
      <w:sz w:val="24"/>
      <w:lang w:eastAsia="en-US"/>
    </w:rPr>
  </w:style>
  <w:style w:type="paragraph" w:customStyle="1" w:styleId="ParaLevel6">
    <w:name w:val="ParaLevel6"/>
    <w:basedOn w:val="Normal"/>
    <w:uiPriority w:val="99"/>
    <w:rsid w:val="003D33CB"/>
    <w:pPr>
      <w:numPr>
        <w:ilvl w:val="5"/>
        <w:numId w:val="16"/>
      </w:numPr>
      <w:tabs>
        <w:tab w:val="num" w:pos="4254"/>
      </w:tabs>
      <w:suppressAutoHyphens/>
      <w:spacing w:before="240" w:after="240"/>
      <w:jc w:val="both"/>
      <w:outlineLvl w:val="5"/>
    </w:pPr>
    <w:rPr>
      <w:sz w:val="24"/>
      <w:lang w:eastAsia="en-US"/>
    </w:rPr>
  </w:style>
  <w:style w:type="paragraph" w:customStyle="1" w:styleId="ParaLevel7">
    <w:name w:val="ParaLevel7"/>
    <w:basedOn w:val="Normal"/>
    <w:uiPriority w:val="99"/>
    <w:rsid w:val="003D33CB"/>
    <w:pPr>
      <w:numPr>
        <w:ilvl w:val="6"/>
        <w:numId w:val="16"/>
      </w:numPr>
      <w:suppressAutoHyphens/>
      <w:spacing w:before="240" w:after="240"/>
      <w:jc w:val="both"/>
      <w:outlineLvl w:val="6"/>
    </w:pPr>
    <w:rPr>
      <w:sz w:val="24"/>
      <w:lang w:eastAsia="en-US"/>
    </w:rPr>
  </w:style>
  <w:style w:type="paragraph" w:customStyle="1" w:styleId="ParaLevel8">
    <w:name w:val="ParaLevel8"/>
    <w:basedOn w:val="Normal"/>
    <w:uiPriority w:val="99"/>
    <w:rsid w:val="003D33CB"/>
    <w:pPr>
      <w:numPr>
        <w:ilvl w:val="7"/>
        <w:numId w:val="16"/>
      </w:numPr>
      <w:tabs>
        <w:tab w:val="num" w:pos="5672"/>
      </w:tabs>
      <w:suppressAutoHyphens/>
      <w:spacing w:before="240" w:after="240"/>
      <w:jc w:val="both"/>
      <w:outlineLvl w:val="7"/>
    </w:pPr>
    <w:rPr>
      <w:sz w:val="24"/>
      <w:lang w:eastAsia="en-US"/>
    </w:rPr>
  </w:style>
  <w:style w:type="paragraph" w:customStyle="1" w:styleId="ParaLevel9">
    <w:name w:val="ParaLevel9"/>
    <w:basedOn w:val="Normal"/>
    <w:uiPriority w:val="99"/>
    <w:rsid w:val="003D33CB"/>
    <w:pPr>
      <w:numPr>
        <w:ilvl w:val="8"/>
        <w:numId w:val="16"/>
      </w:numPr>
      <w:suppressAutoHyphens/>
      <w:spacing w:before="240" w:after="240"/>
      <w:jc w:val="both"/>
      <w:outlineLvl w:val="8"/>
    </w:pPr>
    <w:rPr>
      <w:sz w:val="24"/>
      <w:lang w:eastAsia="en-US"/>
    </w:rPr>
  </w:style>
  <w:style w:type="paragraph" w:customStyle="1" w:styleId="Default">
    <w:name w:val="Default"/>
    <w:rsid w:val="003D33CB"/>
    <w:pPr>
      <w:autoSpaceDE w:val="0"/>
      <w:autoSpaceDN w:val="0"/>
      <w:adjustRightInd w:val="0"/>
    </w:pPr>
    <w:rPr>
      <w:color w:val="000000"/>
      <w:sz w:val="24"/>
      <w:szCs w:val="24"/>
    </w:rPr>
  </w:style>
  <w:style w:type="paragraph" w:customStyle="1" w:styleId="BylineQS">
    <w:name w:val="By line (QS)"/>
    <w:basedOn w:val="Normal"/>
    <w:next w:val="Normal"/>
    <w:uiPriority w:val="99"/>
    <w:rsid w:val="003D33CB"/>
    <w:pPr>
      <w:widowControl w:val="0"/>
      <w:autoSpaceDE w:val="0"/>
      <w:autoSpaceDN w:val="0"/>
      <w:adjustRightInd w:val="0"/>
      <w:spacing w:line="528" w:lineRule="atLeast"/>
      <w:ind w:right="15"/>
    </w:pPr>
    <w:rPr>
      <w:rFonts w:ascii="Courier New" w:hAnsi="Courier New" w:cs="Courier New"/>
      <w:sz w:val="24"/>
      <w:szCs w:val="24"/>
      <w:lang w:val="en-US" w:eastAsia="en-US"/>
    </w:rPr>
  </w:style>
  <w:style w:type="paragraph" w:customStyle="1" w:styleId="Normal7">
    <w:name w:val="Normal 7"/>
    <w:basedOn w:val="Normal"/>
    <w:next w:val="Normal"/>
    <w:uiPriority w:val="99"/>
    <w:rsid w:val="003D33CB"/>
    <w:pPr>
      <w:widowControl w:val="0"/>
      <w:autoSpaceDE w:val="0"/>
      <w:autoSpaceDN w:val="0"/>
      <w:adjustRightInd w:val="0"/>
      <w:spacing w:line="264" w:lineRule="atLeast"/>
      <w:ind w:right="15"/>
      <w:jc w:val="right"/>
    </w:pPr>
    <w:rPr>
      <w:rFonts w:ascii="Courier New" w:hAnsi="Courier New" w:cs="Courier New"/>
      <w:sz w:val="24"/>
      <w:szCs w:val="24"/>
      <w:lang w:val="en-US" w:eastAsia="en-US"/>
    </w:rPr>
  </w:style>
  <w:style w:type="paragraph" w:customStyle="1" w:styleId="Normal8">
    <w:name w:val="Normal 8"/>
    <w:basedOn w:val="Normal"/>
    <w:next w:val="Normal"/>
    <w:uiPriority w:val="99"/>
    <w:rsid w:val="003D33CB"/>
    <w:pPr>
      <w:widowControl w:val="0"/>
      <w:autoSpaceDE w:val="0"/>
      <w:autoSpaceDN w:val="0"/>
      <w:adjustRightInd w:val="0"/>
      <w:spacing w:line="264" w:lineRule="atLeast"/>
      <w:ind w:right="15"/>
      <w:jc w:val="center"/>
    </w:pPr>
    <w:rPr>
      <w:rFonts w:ascii="Courier New" w:hAnsi="Courier New" w:cs="Courier New"/>
      <w:sz w:val="24"/>
      <w:szCs w:val="24"/>
      <w:lang w:val="en-US" w:eastAsia="en-US"/>
    </w:rPr>
  </w:style>
  <w:style w:type="character" w:customStyle="1" w:styleId="acopre">
    <w:name w:val="acopre"/>
    <w:rsid w:val="003D33CB"/>
  </w:style>
  <w:style w:type="character" w:styleId="Emphasis">
    <w:name w:val="Emphasis"/>
    <w:uiPriority w:val="20"/>
    <w:qFormat/>
    <w:rsid w:val="003D33CB"/>
    <w:rPr>
      <w:i/>
      <w:iCs/>
    </w:rPr>
  </w:style>
  <w:style w:type="character" w:customStyle="1" w:styleId="Heading2Char">
    <w:name w:val="Heading 2 Char"/>
    <w:basedOn w:val="DefaultParagraphFont"/>
    <w:link w:val="Heading2"/>
    <w:rsid w:val="00226D2B"/>
    <w:rPr>
      <w:b/>
      <w:sz w:val="24"/>
      <w:u w:val="single"/>
    </w:rPr>
  </w:style>
  <w:style w:type="character" w:customStyle="1" w:styleId="Heading3Char">
    <w:name w:val="Heading 3 Char"/>
    <w:basedOn w:val="DefaultParagraphFont"/>
    <w:link w:val="Heading3"/>
    <w:rsid w:val="00226D2B"/>
    <w:rPr>
      <w:sz w:val="24"/>
    </w:rPr>
  </w:style>
  <w:style w:type="character" w:customStyle="1" w:styleId="Heading5Char">
    <w:name w:val="Heading 5 Char"/>
    <w:basedOn w:val="DefaultParagraphFont"/>
    <w:link w:val="Heading5"/>
    <w:rsid w:val="00226D2B"/>
    <w:rPr>
      <w:i/>
      <w:sz w:val="24"/>
    </w:rPr>
  </w:style>
  <w:style w:type="character" w:customStyle="1" w:styleId="BodyTextChar">
    <w:name w:val="Body Text Char"/>
    <w:basedOn w:val="DefaultParagraphFont"/>
    <w:link w:val="BodyText"/>
    <w:rsid w:val="00226D2B"/>
    <w:rPr>
      <w:sz w:val="24"/>
    </w:rPr>
  </w:style>
  <w:style w:type="character" w:customStyle="1" w:styleId="s6b621b36">
    <w:name w:val="s6b621b36"/>
    <w:basedOn w:val="DefaultParagraphFont"/>
    <w:rsid w:val="00D21C75"/>
  </w:style>
  <w:style w:type="character" w:customStyle="1" w:styleId="sb8d990e2">
    <w:name w:val="sb8d990e2"/>
    <w:basedOn w:val="DefaultParagraphFont"/>
    <w:rsid w:val="00D21C75"/>
  </w:style>
  <w:style w:type="character" w:customStyle="1" w:styleId="apple-converted-space">
    <w:name w:val="apple-converted-space"/>
    <w:basedOn w:val="DefaultParagraphFont"/>
    <w:rsid w:val="00D21C75"/>
  </w:style>
  <w:style w:type="character" w:customStyle="1" w:styleId="sfbbfee58">
    <w:name w:val="sfbbfee58"/>
    <w:basedOn w:val="DefaultParagraphFont"/>
    <w:rsid w:val="00D21C75"/>
  </w:style>
  <w:style w:type="character" w:customStyle="1" w:styleId="s1a844bc0">
    <w:name w:val="s1a844bc0"/>
    <w:basedOn w:val="DefaultParagraphFont"/>
    <w:rsid w:val="00D21C75"/>
  </w:style>
  <w:style w:type="character" w:customStyle="1" w:styleId="hgkelc">
    <w:name w:val="hgkelc"/>
    <w:basedOn w:val="DefaultParagraphFont"/>
    <w:rsid w:val="00EB0BA4"/>
  </w:style>
  <w:style w:type="paragraph" w:styleId="CommentText">
    <w:name w:val="annotation text"/>
    <w:basedOn w:val="Normal"/>
    <w:link w:val="CommentTextChar"/>
    <w:rsid w:val="0010755E"/>
  </w:style>
  <w:style w:type="character" w:customStyle="1" w:styleId="CommentTextChar">
    <w:name w:val="Comment Text Char"/>
    <w:basedOn w:val="DefaultParagraphFont"/>
    <w:link w:val="CommentText"/>
    <w:rsid w:val="0010755E"/>
  </w:style>
  <w:style w:type="paragraph" w:customStyle="1" w:styleId="legclearfix">
    <w:name w:val="legclearfix"/>
    <w:basedOn w:val="Normal"/>
    <w:rsid w:val="00A928D9"/>
    <w:pPr>
      <w:spacing w:before="100" w:beforeAutospacing="1" w:after="100" w:afterAutospacing="1"/>
    </w:pPr>
    <w:rPr>
      <w:sz w:val="24"/>
      <w:szCs w:val="24"/>
    </w:rPr>
  </w:style>
  <w:style w:type="character" w:customStyle="1" w:styleId="legamendingtext">
    <w:name w:val="legamendingtext"/>
    <w:basedOn w:val="DefaultParagraphFont"/>
    <w:rsid w:val="00A928D9"/>
  </w:style>
  <w:style w:type="paragraph" w:customStyle="1" w:styleId="legtext">
    <w:name w:val="legtext"/>
    <w:basedOn w:val="Normal"/>
    <w:rsid w:val="00092C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1325">
      <w:bodyDiv w:val="1"/>
      <w:marLeft w:val="0"/>
      <w:marRight w:val="0"/>
      <w:marTop w:val="0"/>
      <w:marBottom w:val="0"/>
      <w:divBdr>
        <w:top w:val="none" w:sz="0" w:space="0" w:color="auto"/>
        <w:left w:val="none" w:sz="0" w:space="0" w:color="auto"/>
        <w:bottom w:val="none" w:sz="0" w:space="0" w:color="auto"/>
        <w:right w:val="none" w:sz="0" w:space="0" w:color="auto"/>
      </w:divBdr>
    </w:div>
    <w:div w:id="963583320">
      <w:bodyDiv w:val="1"/>
      <w:marLeft w:val="0"/>
      <w:marRight w:val="0"/>
      <w:marTop w:val="0"/>
      <w:marBottom w:val="0"/>
      <w:divBdr>
        <w:top w:val="none" w:sz="0" w:space="0" w:color="auto"/>
        <w:left w:val="none" w:sz="0" w:space="0" w:color="auto"/>
        <w:bottom w:val="none" w:sz="0" w:space="0" w:color="auto"/>
        <w:right w:val="none" w:sz="0" w:space="0" w:color="auto"/>
      </w:divBdr>
    </w:div>
    <w:div w:id="1059281049">
      <w:bodyDiv w:val="1"/>
      <w:marLeft w:val="0"/>
      <w:marRight w:val="0"/>
      <w:marTop w:val="0"/>
      <w:marBottom w:val="0"/>
      <w:divBdr>
        <w:top w:val="none" w:sz="0" w:space="0" w:color="auto"/>
        <w:left w:val="none" w:sz="0" w:space="0" w:color="auto"/>
        <w:bottom w:val="none" w:sz="0" w:space="0" w:color="auto"/>
        <w:right w:val="none" w:sz="0" w:space="0" w:color="auto"/>
      </w:divBdr>
    </w:div>
    <w:div w:id="1919633585">
      <w:bodyDiv w:val="1"/>
      <w:marLeft w:val="0"/>
      <w:marRight w:val="0"/>
      <w:marTop w:val="0"/>
      <w:marBottom w:val="0"/>
      <w:divBdr>
        <w:top w:val="none" w:sz="0" w:space="0" w:color="auto"/>
        <w:left w:val="none" w:sz="0" w:space="0" w:color="auto"/>
        <w:bottom w:val="none" w:sz="0" w:space="0" w:color="auto"/>
        <w:right w:val="none" w:sz="0" w:space="0" w:color="auto"/>
      </w:divBdr>
    </w:div>
    <w:div w:id="1940721192">
      <w:bodyDiv w:val="1"/>
      <w:marLeft w:val="0"/>
      <w:marRight w:val="0"/>
      <w:marTop w:val="0"/>
      <w:marBottom w:val="0"/>
      <w:divBdr>
        <w:top w:val="none" w:sz="0" w:space="0" w:color="auto"/>
        <w:left w:val="none" w:sz="0" w:space="0" w:color="auto"/>
        <w:bottom w:val="none" w:sz="0" w:space="0" w:color="auto"/>
        <w:right w:val="none" w:sz="0" w:space="0" w:color="auto"/>
      </w:divBdr>
      <w:divsChild>
        <w:div w:id="1332684155">
          <w:marLeft w:val="0"/>
          <w:marRight w:val="0"/>
          <w:marTop w:val="0"/>
          <w:marBottom w:val="0"/>
          <w:divBdr>
            <w:top w:val="none" w:sz="0" w:space="0" w:color="auto"/>
            <w:left w:val="none" w:sz="0" w:space="0" w:color="auto"/>
            <w:bottom w:val="none" w:sz="0" w:space="0" w:color="auto"/>
            <w:right w:val="none" w:sz="0" w:space="0" w:color="auto"/>
          </w:divBdr>
          <w:divsChild>
            <w:div w:id="1087267015">
              <w:marLeft w:val="0"/>
              <w:marRight w:val="0"/>
              <w:marTop w:val="0"/>
              <w:marBottom w:val="0"/>
              <w:divBdr>
                <w:top w:val="single" w:sz="2" w:space="0" w:color="FFFFFF"/>
                <w:left w:val="single" w:sz="6" w:space="0" w:color="FFFFFF"/>
                <w:bottom w:val="single" w:sz="6" w:space="0" w:color="FFFFFF"/>
                <w:right w:val="single" w:sz="6" w:space="0" w:color="FFFFFF"/>
              </w:divBdr>
              <w:divsChild>
                <w:div w:id="1907105532">
                  <w:marLeft w:val="0"/>
                  <w:marRight w:val="0"/>
                  <w:marTop w:val="0"/>
                  <w:marBottom w:val="0"/>
                  <w:divBdr>
                    <w:top w:val="single" w:sz="6" w:space="1" w:color="D3D3D3"/>
                    <w:left w:val="none" w:sz="0" w:space="0" w:color="auto"/>
                    <w:bottom w:val="none" w:sz="0" w:space="0" w:color="auto"/>
                    <w:right w:val="none" w:sz="0" w:space="0" w:color="auto"/>
                  </w:divBdr>
                  <w:divsChild>
                    <w:div w:id="1272204323">
                      <w:marLeft w:val="0"/>
                      <w:marRight w:val="0"/>
                      <w:marTop w:val="0"/>
                      <w:marBottom w:val="0"/>
                      <w:divBdr>
                        <w:top w:val="none" w:sz="0" w:space="0" w:color="auto"/>
                        <w:left w:val="none" w:sz="0" w:space="0" w:color="auto"/>
                        <w:bottom w:val="none" w:sz="0" w:space="0" w:color="auto"/>
                        <w:right w:val="none" w:sz="0" w:space="0" w:color="auto"/>
                      </w:divBdr>
                      <w:divsChild>
                        <w:div w:id="15746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21/364/introduction/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21/364/introduction/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21/364/introduction/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14" ma:contentTypeDescription="Create a new document." ma:contentTypeScope="" ma:versionID="85a82436e53e85b1943d0b962b8559d2">
  <xsd:schema xmlns:xsd="http://www.w3.org/2001/XMLSchema" xmlns:xs="http://www.w3.org/2001/XMLSchema" xmlns:p="http://schemas.microsoft.com/office/2006/metadata/properties" xmlns:ns1="http://schemas.microsoft.com/sharepoint/v3" xmlns:ns3="280bcbf3-fdfc-4eb0-b96b-cab686b14d5d" xmlns:ns4="22b9fc00-1a44-40cf-ac95-f4380d2e67ae" targetNamespace="http://schemas.microsoft.com/office/2006/metadata/properties" ma:root="true" ma:fieldsID="bd555c043fb2ae21c1ade14379b4732f" ns1:_="" ns3:_="" ns4:_="">
    <xsd:import namespace="http://schemas.microsoft.com/sharepoint/v3"/>
    <xsd:import namespace="280bcbf3-fdfc-4eb0-b96b-cab686b14d5d"/>
    <xsd:import namespace="22b9fc00-1a44-40cf-ac95-f4380d2e67a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9fc00-1a44-40cf-ac95-f4380d2e67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7DF4F-547E-4560-A275-997475E51EF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80bcbf3-fdfc-4eb0-b96b-cab686b14d5d"/>
    <ds:schemaRef ds:uri="http://purl.org/dc/terms/"/>
    <ds:schemaRef ds:uri="http://schemas.microsoft.com/office/infopath/2007/PartnerControls"/>
    <ds:schemaRef ds:uri="22b9fc00-1a44-40cf-ac95-f4380d2e67ae"/>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D06088A-6C2E-42B6-9760-B2171E9D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0bcbf3-fdfc-4eb0-b96b-cab686b14d5d"/>
    <ds:schemaRef ds:uri="22b9fc00-1a44-40cf-ac95-f4380d2e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F5B96-7DCD-4D8F-A657-DC8A2ADCC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8874</Words>
  <Characters>44994</Characters>
  <Application>Microsoft Office Word</Application>
  <DocSecurity>0</DocSecurity>
  <Lines>374</Lines>
  <Paragraphs>107</Paragraphs>
  <ScaleCrop>false</ScaleCrop>
  <HeadingPairs>
    <vt:vector size="2" baseType="variant">
      <vt:variant>
        <vt:lpstr>Title</vt:lpstr>
      </vt:variant>
      <vt:variant>
        <vt:i4>1</vt:i4>
      </vt:variant>
    </vt:vector>
  </HeadingPairs>
  <TitlesOfParts>
    <vt:vector size="1" baseType="lpstr">
      <vt:lpstr>E 130 Reasons Statement</vt:lpstr>
    </vt:vector>
  </TitlesOfParts>
  <Company/>
  <LinksUpToDate>false</LinksUpToDate>
  <CharactersWithSpaces>53761</CharactersWithSpaces>
  <SharedDoc>false</SharedDoc>
  <HLinks>
    <vt:vector size="6" baseType="variant">
      <vt:variant>
        <vt:i4>327719</vt:i4>
      </vt:variant>
      <vt:variant>
        <vt:i4>3</vt:i4>
      </vt:variant>
      <vt:variant>
        <vt:i4>0</vt:i4>
      </vt:variant>
      <vt:variant>
        <vt:i4>5</vt:i4>
      </vt:variant>
      <vt:variant>
        <vt:lpwstr>mailto:asylumsupporttribunals@hmcts.gsi.gov.uk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130 Reasons Statement</dc:title>
  <dc:subject/>
  <dc:creator>Amoah, Cornelia</dc:creator>
  <cp:keywords/>
  <dc:description/>
  <cp:lastModifiedBy>Deborah Gellner</cp:lastModifiedBy>
  <cp:revision>3</cp:revision>
  <cp:lastPrinted>2021-04-30T14:09:00Z</cp:lastPrinted>
  <dcterms:created xsi:type="dcterms:W3CDTF">2021-05-04T08:50:00Z</dcterms:created>
  <dcterms:modified xsi:type="dcterms:W3CDTF">2021-05-04T08:52:00Z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